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Clean Up Old Database Entries and Manage Retention</w:t>
      </w:r>
    </w:p>
    <w:p>
      <w:r>
        <w:t>LogHawk administrator guide • 29 October 2026</w:t>
      </w:r>
    </w:p>
    <w:p>
      <w:r>
        <w:t>Use this guide to review and remove old operational history from the LogHawk server database or the local Hawk Console database. Preview is the default. Deletion happens only when you add --execute. Start with a database backup, verify the selected database and cutoff, then review the preview before executing cleanup.</w:t>
      </w:r>
    </w:p>
    <w:p>
      <w:r>
        <w:t>The procedure documents the implemented maintenance module. It is separate from the pipeline scheduling launcher and does not run collectors, pipelines, or LLM requests. The implementation had not been runtime-tested when this guide was prepared.</w:t>
      </w:r>
    </w:p>
    <w:p>
      <w:pPr>
        <w:pStyle w:val="Heading1"/>
      </w:pPr>
      <w:r>
        <w:t>1 Understand the scope</w:t>
      </w:r>
    </w:p>
    <w:tbl>
      <w:tblPr>
        <w:tblW w:type="auto" w:w="0"/>
        <w:tblLayout w:type="fixed"/>
        <w:tblLook w:firstColumn="1" w:firstRow="1" w:lastColumn="0" w:lastRow="0" w:noHBand="0" w:noVBand="1" w:val="04A0"/>
      </w:tblPr>
      <w:tblGrid>
        <w:gridCol w:w="1728"/>
        <w:gridCol w:w="8208"/>
      </w:tblGrid>
      <w:tr>
        <w:trPr>
          <w:tblHeader/>
        </w:trPr>
        <w:tc>
          <w:tcPr>
            <w:tcW w:type="dxa" w:w="1728"/>
            <w:vAlign w:val="center"/>
            <w:shd w:fill="17365D"/>
            <w:tcBorders>
              <w:top w:val="single" w:sz="4" w:color="D9D9D9"/>
              <w:left w:val="single" w:sz="4" w:color="D9D9D9"/>
              <w:bottom w:val="single" w:sz="4" w:color="D9D9D9"/>
              <w:right w:val="single" w:sz="4" w:color="D9D9D9"/>
            </w:tcBorders>
          </w:tcPr>
          <w:p>
            <w:r>
              <w:rPr>
                <w:b/>
                <w:color w:val="FFFFFF"/>
                <w:sz w:val="20"/>
              </w:rPr>
              <w:t>Database role</w:t>
            </w:r>
          </w:p>
        </w:tc>
        <w:tc>
          <w:tcPr>
            <w:tcW w:type="dxa" w:w="8208"/>
            <w:vAlign w:val="center"/>
            <w:shd w:fill="17365D"/>
            <w:tcBorders>
              <w:top w:val="single" w:sz="4" w:color="D9D9D9"/>
              <w:left w:val="single" w:sz="4" w:color="D9D9D9"/>
              <w:bottom w:val="single" w:sz="4" w:color="D9D9D9"/>
              <w:right w:val="single" w:sz="4" w:color="D9D9D9"/>
            </w:tcBorders>
          </w:tcPr>
          <w:p>
            <w:r>
              <w:rPr>
                <w:b/>
                <w:color w:val="FFFFFF"/>
                <w:sz w:val="20"/>
              </w:rPr>
              <w:t>History eligible for cleanup</w:t>
            </w:r>
          </w:p>
        </w:tc>
      </w:tr>
      <w:tr>
        <w:tc>
          <w:tcPr>
            <w:tcW w:type="dxa" w:w="1728"/>
            <w:vAlign w:val="center"/>
            <w:shd w:fill="F2F5F8"/>
            <w:tcBorders>
              <w:top w:val="single" w:sz="4" w:color="D9D9D9"/>
              <w:left w:val="single" w:sz="4" w:color="D9D9D9"/>
              <w:bottom w:val="single" w:sz="4" w:color="D9D9D9"/>
              <w:right w:val="single" w:sz="4" w:color="D9D9D9"/>
            </w:tcBorders>
          </w:tcPr>
          <w:p>
            <w:r>
              <w:rPr>
                <w:sz w:val="20"/>
              </w:rPr>
              <w:t>server</w:t>
            </w:r>
          </w:p>
        </w:tc>
        <w:tc>
          <w:tcPr>
            <w:tcW w:type="dxa" w:w="8208"/>
            <w:vAlign w:val="center"/>
            <w:shd w:fill="F2F5F8"/>
            <w:tcBorders>
              <w:top w:val="single" w:sz="4" w:color="D9D9D9"/>
              <w:left w:val="single" w:sz="4" w:color="D9D9D9"/>
              <w:bottom w:val="single" w:sz="4" w:color="D9D9D9"/>
              <w:right w:val="single" w:sz="4" w:color="D9D9D9"/>
            </w:tcBorders>
          </w:tcPr>
          <w:p>
            <w:r>
              <w:rPr>
                <w:sz w:val="20"/>
              </w:rPr>
              <w:t>RCA requests and their tool events, evidence views and model invocations; pipeline runs; custom task runs; built-in collector runs; RAG ingestion jobs; signed-in Console chat and command history; old expired or revoked sessions.</w:t>
            </w:r>
          </w:p>
        </w:tc>
      </w:tr>
      <w:tr>
        <w:tc>
          <w:tcPr>
            <w:tcW w:type="dxa" w:w="1728"/>
            <w:vAlign w:val="center"/>
            <w:shd w:fill="FFFFFF"/>
            <w:tcBorders>
              <w:top w:val="single" w:sz="4" w:color="D9D9D9"/>
              <w:left w:val="single" w:sz="4" w:color="D9D9D9"/>
              <w:bottom w:val="single" w:sz="4" w:color="D9D9D9"/>
              <w:right w:val="single" w:sz="4" w:color="D9D9D9"/>
            </w:tcBorders>
          </w:tcPr>
          <w:p>
            <w:r>
              <w:rPr>
                <w:sz w:val="20"/>
              </w:rPr>
              <w:t>console</w:t>
            </w:r>
          </w:p>
        </w:tc>
        <w:tc>
          <w:tcPr>
            <w:tcW w:type="dxa" w:w="8208"/>
            <w:vAlign w:val="center"/>
            <w:shd w:fill="FFFFFF"/>
            <w:tcBorders>
              <w:top w:val="single" w:sz="4" w:color="D9D9D9"/>
              <w:left w:val="single" w:sz="4" w:color="D9D9D9"/>
              <w:bottom w:val="single" w:sz="4" w:color="D9D9D9"/>
              <w:right w:val="single" w:sz="4" w:color="D9D9D9"/>
            </w:tcBorders>
          </w:tcPr>
          <w:p>
            <w:r>
              <w:rPr>
                <w:sz w:val="20"/>
              </w:rPr>
              <w:t>Local cli_command_history and llm_conversation_history only.</w:t>
            </w:r>
          </w:p>
        </w:tc>
      </w:tr>
    </w:tbl>
    <w:p/>
    <w:p>
      <w:r>
        <w:t>task_runs records custom script executions, including custom collectors. collector_runs records built-in collector executions. Full returned redacted AI evidence is stored in llm_tool_calls.result_text, subject to collector and runner limits. Removing an eligible RCA request removes its associated evidence and explanation history.</w:t>
      </w:r>
    </w:p>
    <w:p>
      <w:r>
        <w:t>Preserved data includes user accounts, Tasks, Task messages and artifact versions, Config Sets, Pipeline definitions, collector registry entries and RAG document registry entries. Cleanup does not delete S3 objects, ML models, LanceDB vectors, uploaded files or diagnostic log files.</w:t>
      </w:r>
    </w:p>
    <w:p>
      <w:pPr>
        <w:pStyle w:val="Heading1"/>
      </w:pPr>
      <w:r>
        <w:t>2 Select the correct database and environment</w:t>
      </w:r>
    </w:p>
    <w:p>
      <w:pPr>
        <w:pStyle w:val="Code"/>
      </w:pPr>
      <w:r>
        <w:t>LH_SERVER_DATABASE_URL=sqlite:///data/db/loghawk_server.sqlite3</w:t>
      </w:r>
    </w:p>
    <w:p>
      <w:pPr>
        <w:pStyle w:val="Code"/>
      </w:pPr>
      <w:r>
        <w:t>LH_CONSOLE_DATABASE_URL=sqlite:///data/db/loghawk_local_hawkconsole.sqlite3</w:t>
      </w:r>
    </w:p>
    <w:p>
      <w:r>
        <w:t>These values belong in the repository .env file. Existing process environment values take precedence. Relative SQLite paths resolve against the installed LogHawk project root, not merely the current terminal directory. A shared editable installation can point at another clone. Check the database location printed in preview before proceeding.</w:t>
      </w:r>
    </w:p>
    <w:p>
      <w:r>
        <w:t>Windows Command Prompt examples from your intended checkout:</w:t>
      </w:r>
    </w:p>
    <w:p>
      <w:pPr>
        <w:pStyle w:val="Code"/>
      </w:pPr>
      <w:r>
        <w:t>cd C:\mywork\loghawk</w:t>
      </w:r>
    </w:p>
    <w:p>
      <w:pPr>
        <w:pStyle w:val="Code"/>
      </w:pPr>
      <w:r>
        <w:t>venv312\Scripts\activate.bat</w:t>
      </w:r>
    </w:p>
    <w:p>
      <w:r>
        <w:t>For local Console maintenance, activate its environment instead:</w:t>
      </w:r>
    </w:p>
    <w:p>
      <w:pPr>
        <w:pStyle w:val="Code"/>
      </w:pPr>
      <w:r>
        <w:t>venv_hawkconsole\Scripts\activate.bat</w:t>
      </w:r>
    </w:p>
    <w:p>
      <w:r>
        <w:t>Linux or macOS with the Conda environments created by setup:</w:t>
      </w:r>
    </w:p>
    <w:p>
      <w:pPr>
        <w:pStyle w:val="Code"/>
      </w:pPr>
      <w:r>
        <w:t>cd /path/to/loghawk</w:t>
      </w:r>
    </w:p>
    <w:p>
      <w:pPr>
        <w:pStyle w:val="Code"/>
      </w:pPr>
      <w:r>
        <w:t>conda activate venv312</w:t>
      </w:r>
    </w:p>
    <w:p>
      <w:pPr>
        <w:pStyle w:val="Code"/>
      </w:pPr>
      <w:r>
        <w:t># For local Console maintenance instead:</w:t>
      </w:r>
    </w:p>
    <w:p>
      <w:pPr>
        <w:pStyle w:val="Code"/>
      </w:pPr>
      <w:r>
        <w:t>conda activate venv_hawkconsole</w:t>
      </w:r>
    </w:p>
    <w:p>
      <w:r>
        <w:t>Run commands from the intended checkout and check which package is installed:</w:t>
      </w:r>
    </w:p>
    <w:p>
      <w:pPr>
        <w:pStyle w:val="Code"/>
      </w:pPr>
      <w:r>
        <w:t>python -c "import loghawk; print(loghawk.__file__)"</w:t>
      </w:r>
    </w:p>
    <w:p>
      <w:r>
        <w:t>The maintenance utility supports SQLite and PostgreSQL. It uses filesystem or database credentials directly, not a Web UI login or role. Restrict access to the database and maintenance environment accordingly. It refuses missing SQLite databases and does not create them.</w:t>
      </w:r>
    </w:p>
    <w:p>
      <w:pPr>
        <w:pStyle w:val="Heading1"/>
      </w:pPr>
      <w:r>
        <w:t>3 Back up and prepare the schema</w:t>
      </w:r>
    </w:p>
    <w:p>
      <w:pPr>
        <w:pStyle w:val="ListBullet"/>
      </w:pPr>
      <w:r>
        <w:t>Choose a maintenance window and take a consistent backup with a verified restore procedure. For SQLite, use a SQLite-aware backup tool, or stop all writers and follow your database backup procedure, accounting for WAL files. Do not assume copying only a live .sqlite3 file is sufficient.</w:t>
      </w:r>
    </w:p>
    <w:p>
      <w:pPr>
        <w:pStyle w:val="ListBullet"/>
      </w:pPr>
      <w:r>
        <w:t>For PostgreSQL, use your established database backup and restore process. Retain the backup outside the cleanup target.</w:t>
      </w:r>
    </w:p>
    <w:p>
      <w:pPr>
        <w:pStyle w:val="ListBullet"/>
      </w:pPr>
      <w:r>
        <w:t>Deploy the approved created_at changes and apply migration 0019_creation_dates_retention through normal LogHawk initialization before retention.</w:t>
      </w:r>
    </w:p>
    <w:p>
      <w:pPr>
        <w:pStyle w:val="ListBullet"/>
      </w:pPr>
      <w:r>
        <w:t>Creation dates are backfilled from valid original timezone-qualified start dates. Unknown or invalid original dates stay unset. The migration does not delete records.</w:t>
      </w:r>
    </w:p>
    <w:p>
      <w:pPr>
        <w:pStyle w:val="ListBullet"/>
      </w:pPr>
      <w:r>
        <w:t>Do not run cleanup while migrations are in progress.</w:t>
      </w:r>
    </w:p>
    <w:p>
      <w:r>
        <w:t>If you need to initialize the selected role explicitly after backup, these commands run application migrations and therefore modify the database:</w:t>
      </w:r>
    </w:p>
    <w:p>
      <w:pPr>
        <w:pStyle w:val="Code"/>
      </w:pPr>
      <w:r>
        <w:t>python -c "from loghawk.database.database_layer import initialize_database; initialize_database('server')"</w:t>
      </w:r>
    </w:p>
    <w:p>
      <w:pPr>
        <w:pStyle w:val="Code"/>
      </w:pPr>
      <w:r>
        <w:t>python -c "from loghawk.database.database_layer import initialize_database; initialize_database('console')"</w:t>
      </w:r>
    </w:p>
    <w:p>
      <w:r>
        <w:t>Run only the command for the role you intend to initialize. Initialization can apply all pending revisions, not just 0019. The retention utility itself does not run migrations. Existing local history may contain timestamps without timezone information or invalid literal defaults; these are protected rather than assigned guessed dates.</w:t>
      </w:r>
    </w:p>
    <w:p>
      <w:pPr>
        <w:pStyle w:val="Heading1"/>
      </w:pPr>
      <w:r>
        <w:t>4 Preview eligible records</w:t>
      </w:r>
    </w:p>
    <w:p>
      <w:pPr>
        <w:pStyle w:val="Code"/>
      </w:pPr>
      <w:r>
        <w:t>python -m loghawk.admin.database_retention --role server --older-than-years 5</w:t>
      </w:r>
    </w:p>
    <w:p>
      <w:r>
        <w:t>For the local Console database:</w:t>
      </w:r>
    </w:p>
    <w:p>
      <w:pPr>
        <w:pStyle w:val="Code"/>
      </w:pPr>
      <w:r>
        <w:t>python -m loghawk.admin.database_retention --role console --older-than-years 5</w:t>
      </w:r>
    </w:p>
    <w:p>
      <w:r>
        <w:t>The command opens a read-only connection and reports the selected database, UTC cutoff, eligible records and protection reasons. It does not delete records or initialize the database. Preview can scan substantial history; batch size controls paging, not a total scan limit.</w:t>
      </w:r>
    </w:p>
    <w:tbl>
      <w:tblPr>
        <w:tblW w:type="auto" w:w="0"/>
        <w:tblLayout w:type="fixed"/>
        <w:tblLook w:firstColumn="1" w:firstRow="1" w:lastColumn="0" w:lastRow="0" w:noHBand="0" w:noVBand="1" w:val="04A0"/>
      </w:tblPr>
      <w:tblGrid>
        <w:gridCol w:w="3024"/>
        <w:gridCol w:w="6912"/>
      </w:tblGrid>
      <w:tr>
        <w:trPr>
          <w:tblHeader/>
        </w:trPr>
        <w:tc>
          <w:tcPr>
            <w:tcW w:type="dxa" w:w="3024"/>
            <w:vAlign w:val="center"/>
            <w:shd w:fill="17365D"/>
            <w:tcBorders>
              <w:top w:val="single" w:sz="4" w:color="D9D9D9"/>
              <w:left w:val="single" w:sz="4" w:color="D9D9D9"/>
              <w:bottom w:val="single" w:sz="4" w:color="D9D9D9"/>
              <w:right w:val="single" w:sz="4" w:color="D9D9D9"/>
            </w:tcBorders>
          </w:tcPr>
          <w:p>
            <w:r>
              <w:rPr>
                <w:b/>
                <w:color w:val="FFFFFF"/>
                <w:sz w:val="20"/>
              </w:rPr>
              <w:t>Report field</w:t>
            </w:r>
          </w:p>
        </w:tc>
        <w:tc>
          <w:tcPr>
            <w:tcW w:type="dxa" w:w="6912"/>
            <w:vAlign w:val="center"/>
            <w:shd w:fill="17365D"/>
            <w:tcBorders>
              <w:top w:val="single" w:sz="4" w:color="D9D9D9"/>
              <w:left w:val="single" w:sz="4" w:color="D9D9D9"/>
              <w:bottom w:val="single" w:sz="4" w:color="D9D9D9"/>
              <w:right w:val="single" w:sz="4" w:color="D9D9D9"/>
            </w:tcBorders>
          </w:tcPr>
          <w:p>
            <w:r>
              <w:rPr>
                <w:b/>
                <w:color w:val="FFFFFF"/>
                <w:sz w:val="20"/>
              </w:rPr>
              <w:t>How to read it</w:t>
            </w:r>
          </w:p>
        </w:tc>
      </w:tr>
      <w:tr>
        <w:tc>
          <w:tcPr>
            <w:tcW w:type="dxa" w:w="3024"/>
            <w:vAlign w:val="center"/>
            <w:shd w:fill="F2F5F8"/>
            <w:tcBorders>
              <w:top w:val="single" w:sz="4" w:color="D9D9D9"/>
              <w:left w:val="single" w:sz="4" w:color="D9D9D9"/>
              <w:bottom w:val="single" w:sz="4" w:color="D9D9D9"/>
              <w:right w:val="single" w:sz="4" w:color="D9D9D9"/>
            </w:tcBorders>
          </w:tcPr>
          <w:p>
            <w:r>
              <w:rPr>
                <w:sz w:val="20"/>
              </w:rPr>
              <w:t>mode</w:t>
            </w:r>
          </w:p>
        </w:tc>
        <w:tc>
          <w:tcPr>
            <w:tcW w:type="dxa" w:w="6912"/>
            <w:vAlign w:val="center"/>
            <w:shd w:fill="F2F5F8"/>
            <w:tcBorders>
              <w:top w:val="single" w:sz="4" w:color="D9D9D9"/>
              <w:left w:val="single" w:sz="4" w:color="D9D9D9"/>
              <w:bottom w:val="single" w:sz="4" w:color="D9D9D9"/>
              <w:right w:val="single" w:sz="4" w:color="D9D9D9"/>
            </w:tcBorders>
          </w:tcPr>
          <w:p>
            <w:r>
              <w:rPr>
                <w:sz w:val="20"/>
              </w:rPr>
              <w:t>preview means no deletion was requested.</w:t>
            </w:r>
          </w:p>
        </w:tc>
      </w:tr>
      <w:tr>
        <w:tc>
          <w:tcPr>
            <w:tcW w:type="dxa" w:w="3024"/>
            <w:vAlign w:val="center"/>
            <w:shd w:fill="FFFFFF"/>
            <w:tcBorders>
              <w:top w:val="single" w:sz="4" w:color="D9D9D9"/>
              <w:left w:val="single" w:sz="4" w:color="D9D9D9"/>
              <w:bottom w:val="single" w:sz="4" w:color="D9D9D9"/>
              <w:right w:val="single" w:sz="4" w:color="D9D9D9"/>
            </w:tcBorders>
          </w:tcPr>
          <w:p>
            <w:r>
              <w:rPr>
                <w:sz w:val="20"/>
              </w:rPr>
              <w:t>database</w:t>
            </w:r>
          </w:p>
        </w:tc>
        <w:tc>
          <w:tcPr>
            <w:tcW w:type="dxa" w:w="6912"/>
            <w:vAlign w:val="center"/>
            <w:shd w:fill="FFFFFF"/>
            <w:tcBorders>
              <w:top w:val="single" w:sz="4" w:color="D9D9D9"/>
              <w:left w:val="single" w:sz="4" w:color="D9D9D9"/>
              <w:bottom w:val="single" w:sz="4" w:color="D9D9D9"/>
              <w:right w:val="single" w:sz="4" w:color="D9D9D9"/>
            </w:tcBorders>
          </w:tcPr>
          <w:p>
            <w:r>
              <w:rPr>
                <w:sz w:val="20"/>
              </w:rPr>
              <w:t>Verify backend and actual database path or host/name. Credentials are not printed.</w:t>
            </w:r>
          </w:p>
        </w:tc>
      </w:tr>
      <w:tr>
        <w:tc>
          <w:tcPr>
            <w:tcW w:type="dxa" w:w="3024"/>
            <w:vAlign w:val="center"/>
            <w:shd w:fill="F2F5F8"/>
            <w:tcBorders>
              <w:top w:val="single" w:sz="4" w:color="D9D9D9"/>
              <w:left w:val="single" w:sz="4" w:color="D9D9D9"/>
              <w:bottom w:val="single" w:sz="4" w:color="D9D9D9"/>
              <w:right w:val="single" w:sz="4" w:color="D9D9D9"/>
            </w:tcBorders>
          </w:tcPr>
          <w:p>
            <w:r>
              <w:rPr>
                <w:sz w:val="20"/>
              </w:rPr>
              <w:t>cutoff_utc</w:t>
            </w:r>
          </w:p>
        </w:tc>
        <w:tc>
          <w:tcPr>
            <w:tcW w:type="dxa" w:w="6912"/>
            <w:vAlign w:val="center"/>
            <w:shd w:fill="F2F5F8"/>
            <w:tcBorders>
              <w:top w:val="single" w:sz="4" w:color="D9D9D9"/>
              <w:left w:val="single" w:sz="4" w:color="D9D9D9"/>
              <w:bottom w:val="single" w:sz="4" w:color="D9D9D9"/>
              <w:right w:val="single" w:sz="4" w:color="D9D9D9"/>
            </w:tcBorders>
          </w:tcPr>
          <w:p>
            <w:r>
              <w:rPr>
                <w:sz w:val="20"/>
              </w:rPr>
              <w:t>Only dates strictly earlier than this instant qualify.</w:t>
            </w:r>
          </w:p>
        </w:tc>
      </w:tr>
      <w:tr>
        <w:tc>
          <w:tcPr>
            <w:tcW w:type="dxa" w:w="3024"/>
            <w:vAlign w:val="center"/>
            <w:shd w:fill="FFFFFF"/>
            <w:tcBorders>
              <w:top w:val="single" w:sz="4" w:color="D9D9D9"/>
              <w:left w:val="single" w:sz="4" w:color="D9D9D9"/>
              <w:bottom w:val="single" w:sz="4" w:color="D9D9D9"/>
              <w:right w:val="single" w:sz="4" w:color="D9D9D9"/>
            </w:tcBorders>
          </w:tcPr>
          <w:p>
            <w:r>
              <w:rPr>
                <w:sz w:val="20"/>
              </w:rPr>
              <w:t>tables → eligible</w:t>
            </w:r>
          </w:p>
        </w:tc>
        <w:tc>
          <w:tcPr>
            <w:tcW w:type="dxa" w:w="6912"/>
            <w:vAlign w:val="center"/>
            <w:shd w:fill="FFFFFF"/>
            <w:tcBorders>
              <w:top w:val="single" w:sz="4" w:color="D9D9D9"/>
              <w:left w:val="single" w:sz="4" w:color="D9D9D9"/>
              <w:bottom w:val="single" w:sz="4" w:color="D9D9D9"/>
              <w:right w:val="single" w:sz="4" w:color="D9D9D9"/>
            </w:tcBorders>
          </w:tcPr>
          <w:p>
            <w:r>
              <w:rPr>
                <w:sz w:val="20"/>
              </w:rPr>
              <w:t>Candidate parent/history records for each target table.</w:t>
            </w:r>
          </w:p>
        </w:tc>
      </w:tr>
      <w:tr>
        <w:tc>
          <w:tcPr>
            <w:tcW w:type="dxa" w:w="3024"/>
            <w:vAlign w:val="center"/>
            <w:shd w:fill="F2F5F8"/>
            <w:tcBorders>
              <w:top w:val="single" w:sz="4" w:color="D9D9D9"/>
              <w:left w:val="single" w:sz="4" w:color="D9D9D9"/>
              <w:bottom w:val="single" w:sz="4" w:color="D9D9D9"/>
              <w:right w:val="single" w:sz="4" w:color="D9D9D9"/>
            </w:tcBorders>
          </w:tcPr>
          <w:p>
            <w:r>
              <w:rPr>
                <w:sz w:val="20"/>
              </w:rPr>
              <w:t>protected_or_skipped</w:t>
            </w:r>
          </w:p>
        </w:tc>
        <w:tc>
          <w:tcPr>
            <w:tcW w:type="dxa" w:w="6912"/>
            <w:vAlign w:val="center"/>
            <w:shd w:fill="F2F5F8"/>
            <w:tcBorders>
              <w:top w:val="single" w:sz="4" w:color="D9D9D9"/>
              <w:left w:val="single" w:sz="4" w:color="D9D9D9"/>
              <w:bottom w:val="single" w:sz="4" w:color="D9D9D9"/>
              <w:right w:val="single" w:sz="4" w:color="D9D9D9"/>
            </w:tcBorders>
          </w:tcPr>
          <w:p>
            <w:r>
              <w:rPr>
                <w:sz w:val="20"/>
              </w:rPr>
              <w:t>Counts grouped by the reason records were retained.</w:t>
            </w:r>
          </w:p>
        </w:tc>
      </w:tr>
      <w:tr>
        <w:tc>
          <w:tcPr>
            <w:tcW w:type="dxa" w:w="3024"/>
            <w:vAlign w:val="center"/>
            <w:shd w:fill="FFFFFF"/>
            <w:tcBorders>
              <w:top w:val="single" w:sz="4" w:color="D9D9D9"/>
              <w:left w:val="single" w:sz="4" w:color="D9D9D9"/>
              <w:bottom w:val="single" w:sz="4" w:color="D9D9D9"/>
              <w:right w:val="single" w:sz="4" w:color="D9D9D9"/>
            </w:tcBorders>
          </w:tcPr>
          <w:p>
            <w:r>
              <w:rPr>
                <w:sz w:val="20"/>
              </w:rPr>
              <w:t>eligible_dependents</w:t>
            </w:r>
          </w:p>
        </w:tc>
        <w:tc>
          <w:tcPr>
            <w:tcW w:type="dxa" w:w="6912"/>
            <w:vAlign w:val="center"/>
            <w:shd w:fill="FFFFFF"/>
            <w:tcBorders>
              <w:top w:val="single" w:sz="4" w:color="D9D9D9"/>
              <w:left w:val="single" w:sz="4" w:color="D9D9D9"/>
              <w:bottom w:val="single" w:sz="4" w:color="D9D9D9"/>
              <w:right w:val="single" w:sz="4" w:color="D9D9D9"/>
            </w:tcBorders>
          </w:tcPr>
          <w:p>
            <w:r>
              <w:rPr>
                <w:sz w:val="20"/>
              </w:rPr>
              <w:t>RCA child records that would be removed with eligible requests. These are additional to parent counts.</w:t>
            </w:r>
          </w:p>
        </w:tc>
      </w:tr>
    </w:tbl>
    <w:p/>
    <w:p>
      <w:r>
        <w:t>For illustration, eligible=12 for llm_tool_requests means twelve request records qualify. It does not mean twelve total rows: those requests may also have tool calls, evidence views and model invocation records. Preview counts describe its snapshot and can differ from later execution if activity changes.</w:t>
      </w:r>
    </w:p>
    <w:p>
      <w:pPr>
        <w:pStyle w:val="Heading1"/>
      </w:pPr>
      <w:r>
        <w:t>5 Choose the retention cutoff</w:t>
      </w:r>
    </w:p>
    <w:p>
      <w:pPr>
        <w:pStyle w:val="Code"/>
      </w:pPr>
      <w:r>
        <w:t>python -m loghawk.admin.database_retention --role server --before 2021-10-29T00:00:00Z --batch-size 500</w:t>
      </w:r>
    </w:p>
    <w:p>
      <w:r>
        <w:t>Use exactly one of --older-than-years or --before. Years are calendar years measured from the command start time in UTC; February 29 maps to February 28 when necessary. --before requires an ISO timestamp with a timezone. Z means UTC. Future cutoffs and nonpositive ages or batch sizes are rejected.</w:t>
      </w:r>
    </w:p>
    <w:p>
      <w:r>
        <w:t>For repeatable review and execution, use the same explicit --before timestamp in both commands. Repeating --older-than-years calculates a slightly later cutoff on the second run.</w:t>
      </w:r>
    </w:p>
    <w:tbl>
      <w:tblPr>
        <w:tblW w:type="auto" w:w="0"/>
        <w:tblLayout w:type="fixed"/>
        <w:tblLook w:firstColumn="1" w:firstRow="1" w:lastColumn="0" w:lastRow="0" w:noHBand="0" w:noVBand="1" w:val="04A0"/>
      </w:tblPr>
      <w:tblGrid>
        <w:gridCol w:w="2880"/>
        <w:gridCol w:w="7056"/>
      </w:tblGrid>
      <w:tr>
        <w:trPr>
          <w:tblHeader/>
        </w:trPr>
        <w:tc>
          <w:tcPr>
            <w:tcW w:type="dxa" w:w="2880"/>
            <w:vAlign w:val="center"/>
            <w:shd w:fill="17365D"/>
            <w:tcBorders>
              <w:top w:val="single" w:sz="4" w:color="D9D9D9"/>
              <w:left w:val="single" w:sz="4" w:color="D9D9D9"/>
              <w:bottom w:val="single" w:sz="4" w:color="D9D9D9"/>
              <w:right w:val="single" w:sz="4" w:color="D9D9D9"/>
            </w:tcBorders>
          </w:tcPr>
          <w:p>
            <w:r>
              <w:rPr>
                <w:b/>
                <w:color w:val="FFFFFF"/>
                <w:sz w:val="20"/>
              </w:rPr>
              <w:t>Option</w:t>
            </w:r>
          </w:p>
        </w:tc>
        <w:tc>
          <w:tcPr>
            <w:tcW w:type="dxa" w:w="7056"/>
            <w:vAlign w:val="center"/>
            <w:shd w:fill="17365D"/>
            <w:tcBorders>
              <w:top w:val="single" w:sz="4" w:color="D9D9D9"/>
              <w:left w:val="single" w:sz="4" w:color="D9D9D9"/>
              <w:bottom w:val="single" w:sz="4" w:color="D9D9D9"/>
              <w:right w:val="single" w:sz="4" w:color="D9D9D9"/>
            </w:tcBorders>
          </w:tcPr>
          <w:p>
            <w:r>
              <w:rPr>
                <w:b/>
                <w:color w:val="FFFFFF"/>
                <w:sz w:val="20"/>
              </w:rPr>
              <w:t>Meaning</w:t>
            </w:r>
          </w:p>
        </w:tc>
      </w:tr>
      <w:tr>
        <w:tc>
          <w:tcPr>
            <w:tcW w:type="dxa" w:w="2880"/>
            <w:vAlign w:val="center"/>
            <w:shd w:fill="F2F5F8"/>
            <w:tcBorders>
              <w:top w:val="single" w:sz="4" w:color="D9D9D9"/>
              <w:left w:val="single" w:sz="4" w:color="D9D9D9"/>
              <w:bottom w:val="single" w:sz="4" w:color="D9D9D9"/>
              <w:right w:val="single" w:sz="4" w:color="D9D9D9"/>
            </w:tcBorders>
          </w:tcPr>
          <w:p>
            <w:r>
              <w:rPr>
                <w:sz w:val="20"/>
              </w:rPr>
              <w:t>--role</w:t>
            </w:r>
          </w:p>
        </w:tc>
        <w:tc>
          <w:tcPr>
            <w:tcW w:type="dxa" w:w="7056"/>
            <w:vAlign w:val="center"/>
            <w:shd w:fill="F2F5F8"/>
            <w:tcBorders>
              <w:top w:val="single" w:sz="4" w:color="D9D9D9"/>
              <w:left w:val="single" w:sz="4" w:color="D9D9D9"/>
              <w:bottom w:val="single" w:sz="4" w:color="D9D9D9"/>
              <w:right w:val="single" w:sz="4" w:color="D9D9D9"/>
            </w:tcBorders>
          </w:tcPr>
          <w:p>
            <w:r>
              <w:rPr>
                <w:sz w:val="20"/>
              </w:rPr>
              <w:t>Required: server or console. Each invocation targets one database.</w:t>
            </w:r>
          </w:p>
        </w:tc>
      </w:tr>
      <w:tr>
        <w:tc>
          <w:tcPr>
            <w:tcW w:type="dxa" w:w="2880"/>
            <w:vAlign w:val="center"/>
            <w:shd w:fill="FFFFFF"/>
            <w:tcBorders>
              <w:top w:val="single" w:sz="4" w:color="D9D9D9"/>
              <w:left w:val="single" w:sz="4" w:color="D9D9D9"/>
              <w:bottom w:val="single" w:sz="4" w:color="D9D9D9"/>
              <w:right w:val="single" w:sz="4" w:color="D9D9D9"/>
            </w:tcBorders>
          </w:tcPr>
          <w:p>
            <w:r>
              <w:rPr>
                <w:sz w:val="20"/>
              </w:rPr>
              <w:t>--older-than-years</w:t>
            </w:r>
          </w:p>
        </w:tc>
        <w:tc>
          <w:tcPr>
            <w:tcW w:type="dxa" w:w="7056"/>
            <w:vAlign w:val="center"/>
            <w:shd w:fill="FFFFFF"/>
            <w:tcBorders>
              <w:top w:val="single" w:sz="4" w:color="D9D9D9"/>
              <w:left w:val="single" w:sz="4" w:color="D9D9D9"/>
              <w:bottom w:val="single" w:sz="4" w:color="D9D9D9"/>
              <w:right w:val="single" w:sz="4" w:color="D9D9D9"/>
            </w:tcBorders>
          </w:tcPr>
          <w:p>
            <w:r>
              <w:rPr>
                <w:sz w:val="20"/>
              </w:rPr>
              <w:t>Positive whole calendar years.</w:t>
            </w:r>
          </w:p>
        </w:tc>
      </w:tr>
      <w:tr>
        <w:tc>
          <w:tcPr>
            <w:tcW w:type="dxa" w:w="2880"/>
            <w:vAlign w:val="center"/>
            <w:shd w:fill="F2F5F8"/>
            <w:tcBorders>
              <w:top w:val="single" w:sz="4" w:color="D9D9D9"/>
              <w:left w:val="single" w:sz="4" w:color="D9D9D9"/>
              <w:bottom w:val="single" w:sz="4" w:color="D9D9D9"/>
              <w:right w:val="single" w:sz="4" w:color="D9D9D9"/>
            </w:tcBorders>
          </w:tcPr>
          <w:p>
            <w:r>
              <w:rPr>
                <w:sz w:val="20"/>
              </w:rPr>
              <w:t>--before</w:t>
            </w:r>
          </w:p>
        </w:tc>
        <w:tc>
          <w:tcPr>
            <w:tcW w:type="dxa" w:w="7056"/>
            <w:vAlign w:val="center"/>
            <w:shd w:fill="F2F5F8"/>
            <w:tcBorders>
              <w:top w:val="single" w:sz="4" w:color="D9D9D9"/>
              <w:left w:val="single" w:sz="4" w:color="D9D9D9"/>
              <w:bottom w:val="single" w:sz="4" w:color="D9D9D9"/>
              <w:right w:val="single" w:sz="4" w:color="D9D9D9"/>
            </w:tcBorders>
          </w:tcPr>
          <w:p>
            <w:r>
              <w:rPr>
                <w:sz w:val="20"/>
              </w:rPr>
              <w:t>Exclusive timezone-qualified cutoff, instead of a year count.</w:t>
            </w:r>
          </w:p>
        </w:tc>
      </w:tr>
      <w:tr>
        <w:tc>
          <w:tcPr>
            <w:tcW w:type="dxa" w:w="2880"/>
            <w:vAlign w:val="center"/>
            <w:shd w:fill="FFFFFF"/>
            <w:tcBorders>
              <w:top w:val="single" w:sz="4" w:color="D9D9D9"/>
              <w:left w:val="single" w:sz="4" w:color="D9D9D9"/>
              <w:bottom w:val="single" w:sz="4" w:color="D9D9D9"/>
              <w:right w:val="single" w:sz="4" w:color="D9D9D9"/>
            </w:tcBorders>
          </w:tcPr>
          <w:p>
            <w:r>
              <w:rPr>
                <w:sz w:val="20"/>
              </w:rPr>
              <w:t>--batch-size</w:t>
            </w:r>
          </w:p>
        </w:tc>
        <w:tc>
          <w:tcPr>
            <w:tcW w:type="dxa" w:w="7056"/>
            <w:vAlign w:val="center"/>
            <w:shd w:fill="FFFFFF"/>
            <w:tcBorders>
              <w:top w:val="single" w:sz="4" w:color="D9D9D9"/>
              <w:left w:val="single" w:sz="4" w:color="D9D9D9"/>
              <w:bottom w:val="single" w:sz="4" w:color="D9D9D9"/>
              <w:right w:val="single" w:sz="4" w:color="D9D9D9"/>
            </w:tcBorders>
          </w:tcPr>
          <w:p>
            <w:r>
              <w:rPr>
                <w:sz w:val="20"/>
              </w:rPr>
              <w:t>Positive integer; default 500 parent/history records per page.</w:t>
            </w:r>
          </w:p>
        </w:tc>
      </w:tr>
      <w:tr>
        <w:tc>
          <w:tcPr>
            <w:tcW w:type="dxa" w:w="2880"/>
            <w:vAlign w:val="center"/>
            <w:shd w:fill="F2F5F8"/>
            <w:tcBorders>
              <w:top w:val="single" w:sz="4" w:color="D9D9D9"/>
              <w:left w:val="single" w:sz="4" w:color="D9D9D9"/>
              <w:bottom w:val="single" w:sz="4" w:color="D9D9D9"/>
              <w:right w:val="single" w:sz="4" w:color="D9D9D9"/>
            </w:tcBorders>
          </w:tcPr>
          <w:p>
            <w:r>
              <w:rPr>
                <w:sz w:val="20"/>
              </w:rPr>
              <w:t>--execute</w:t>
            </w:r>
          </w:p>
        </w:tc>
        <w:tc>
          <w:tcPr>
            <w:tcW w:type="dxa" w:w="7056"/>
            <w:vAlign w:val="center"/>
            <w:shd w:fill="F2F5F8"/>
            <w:tcBorders>
              <w:top w:val="single" w:sz="4" w:color="D9D9D9"/>
              <w:left w:val="single" w:sz="4" w:color="D9D9D9"/>
              <w:bottom w:val="single" w:sz="4" w:color="D9D9D9"/>
              <w:right w:val="single" w:sz="4" w:color="D9D9D9"/>
            </w:tcBorders>
          </w:tcPr>
          <w:p>
            <w:r>
              <w:rPr>
                <w:sz w:val="20"/>
              </w:rPr>
              <w:t>Explicitly enable deletion. Omit for preview.</w:t>
            </w:r>
          </w:p>
        </w:tc>
      </w:tr>
    </w:tbl>
    <w:p/>
    <w:p>
      <w:pPr>
        <w:pStyle w:val="Heading1"/>
      </w:pPr>
      <w:r>
        <w:t>6 Execute the reviewed cleanup</w:t>
      </w:r>
    </w:p>
    <w:p>
      <w:r>
        <w:t>After reviewing the database, backup and preview, run:</w:t>
      </w:r>
    </w:p>
    <w:p>
      <w:pPr>
        <w:pStyle w:val="Code"/>
      </w:pPr>
      <w:r>
        <w:t>python -m loghawk.admin.database_retention --role server --before 2021-10-29T00:00:00Z --batch-size 500 --execute</w:t>
      </w:r>
    </w:p>
    <w:p>
      <w:r>
        <w:t>Or use the five-year policy directly:</w:t>
      </w:r>
    </w:p>
    <w:p>
      <w:pPr>
        <w:pStyle w:val="Code"/>
      </w:pPr>
      <w:r>
        <w:t>python -m loghawk.admin.database_retention --role server --older-than-years 5 --execute</w:t>
      </w:r>
    </w:p>
    <w:p>
      <w:r>
        <w:t>Use --role console for local history. There is no interactive Yes/No prompt: --execute is the explicit deletion switch. Each batch commits independently. The command reports deleted_in_batch only after commit and then provides totals. An RCA request and its dependent records are removed together, so the total deleted rows can exceed the parent batch size.</w:t>
      </w:r>
    </w:p>
    <w:p>
      <w:r>
        <w:t>Eligibility is rechecked inside the write transaction. SQLite uses BEGIN IMMEDIATE. PostgreSQL locks the relevant history tables during each batch to prevent concurrent changes. Cleanup may briefly block application writes; schedule it for a low-activity window.</w:t>
      </w:r>
    </w:p>
    <w:p>
      <w:r>
        <w:t>If a later batch fails, earlier committed deletions remain. The current failed transaction rolls back. Rerun preview before restarting. The module does not offer an undo command; recovery requires your backup procedure.</w:t>
      </w:r>
    </w:p>
    <w:p>
      <w:pPr>
        <w:pStyle w:val="Heading1"/>
      </w:pPr>
      <w:r>
        <w:t>7 Understand protected records</w:t>
      </w:r>
    </w:p>
    <w:tbl>
      <w:tblPr>
        <w:tblW w:type="auto" w:w="0"/>
        <w:tblLayout w:type="fixed"/>
        <w:tblLook w:firstColumn="1" w:firstRow="1" w:lastColumn="0" w:lastRow="0" w:noHBand="0" w:noVBand="1" w:val="04A0"/>
      </w:tblPr>
      <w:tblGrid>
        <w:gridCol w:w="3240"/>
        <w:gridCol w:w="6696"/>
      </w:tblGrid>
      <w:tr>
        <w:trPr>
          <w:tblHeader/>
        </w:trPr>
        <w:tc>
          <w:tcPr>
            <w:tcW w:type="dxa" w:w="3240"/>
            <w:vAlign w:val="center"/>
            <w:shd w:fill="17365D"/>
            <w:tcBorders>
              <w:top w:val="single" w:sz="4" w:color="D9D9D9"/>
              <w:left w:val="single" w:sz="4" w:color="D9D9D9"/>
              <w:bottom w:val="single" w:sz="4" w:color="D9D9D9"/>
              <w:right w:val="single" w:sz="4" w:color="D9D9D9"/>
            </w:tcBorders>
          </w:tcPr>
          <w:p>
            <w:r>
              <w:rPr>
                <w:b/>
                <w:color w:val="FFFFFF"/>
                <w:sz w:val="20"/>
              </w:rPr>
              <w:t>Reason</w:t>
            </w:r>
          </w:p>
        </w:tc>
        <w:tc>
          <w:tcPr>
            <w:tcW w:type="dxa" w:w="6696"/>
            <w:vAlign w:val="center"/>
            <w:shd w:fill="17365D"/>
            <w:tcBorders>
              <w:top w:val="single" w:sz="4" w:color="D9D9D9"/>
              <w:left w:val="single" w:sz="4" w:color="D9D9D9"/>
              <w:bottom w:val="single" w:sz="4" w:color="D9D9D9"/>
              <w:right w:val="single" w:sz="4" w:color="D9D9D9"/>
            </w:tcBorders>
          </w:tcPr>
          <w:p>
            <w:r>
              <w:rPr>
                <w:b/>
                <w:color w:val="FFFFFF"/>
                <w:sz w:val="20"/>
              </w:rPr>
              <w:t>Meaning and next step</w:t>
            </w:r>
          </w:p>
        </w:tc>
      </w:tr>
      <w:tr>
        <w:tc>
          <w:tcPr>
            <w:tcW w:type="dxa" w:w="3240"/>
            <w:vAlign w:val="center"/>
            <w:shd w:fill="F2F5F8"/>
            <w:tcBorders>
              <w:top w:val="single" w:sz="4" w:color="D9D9D9"/>
              <w:left w:val="single" w:sz="4" w:color="D9D9D9"/>
              <w:bottom w:val="single" w:sz="4" w:color="D9D9D9"/>
              <w:right w:val="single" w:sz="4" w:color="D9D9D9"/>
            </w:tcBorders>
          </w:tcPr>
          <w:p>
            <w:r>
              <w:rPr>
                <w:sz w:val="20"/>
              </w:rPr>
              <w:t>recent_activity</w:t>
            </w:r>
          </w:p>
        </w:tc>
        <w:tc>
          <w:tcPr>
            <w:tcW w:type="dxa" w:w="6696"/>
            <w:vAlign w:val="center"/>
            <w:shd w:fill="F2F5F8"/>
            <w:tcBorders>
              <w:top w:val="single" w:sz="4" w:color="D9D9D9"/>
              <w:left w:val="single" w:sz="4" w:color="D9D9D9"/>
              <w:bottom w:val="single" w:sz="4" w:color="D9D9D9"/>
              <w:right w:val="single" w:sz="4" w:color="D9D9D9"/>
            </w:tcBorders>
          </w:tcPr>
          <w:p>
            <w:r>
              <w:rPr>
                <w:sz w:val="20"/>
              </w:rPr>
              <w:t>A required creation, update, start, completion or dependent activity date is at or after the cutoff. Retain it.</w:t>
            </w:r>
          </w:p>
        </w:tc>
      </w:tr>
      <w:tr>
        <w:tc>
          <w:tcPr>
            <w:tcW w:type="dxa" w:w="3240"/>
            <w:vAlign w:val="center"/>
            <w:shd w:fill="FFFFFF"/>
            <w:tcBorders>
              <w:top w:val="single" w:sz="4" w:color="D9D9D9"/>
              <w:left w:val="single" w:sz="4" w:color="D9D9D9"/>
              <w:bottom w:val="single" w:sz="4" w:color="D9D9D9"/>
              <w:right w:val="single" w:sz="4" w:color="D9D9D9"/>
            </w:tcBorders>
          </w:tcPr>
          <w:p>
            <w:r>
              <w:rPr>
                <w:sz w:val="20"/>
              </w:rPr>
              <w:t>unknown_or_invalid_date</w:t>
            </w:r>
          </w:p>
        </w:tc>
        <w:tc>
          <w:tcPr>
            <w:tcW w:type="dxa" w:w="6696"/>
            <w:vAlign w:val="center"/>
            <w:shd w:fill="FFFFFF"/>
            <w:tcBorders>
              <w:top w:val="single" w:sz="4" w:color="D9D9D9"/>
              <w:left w:val="single" w:sz="4" w:color="D9D9D9"/>
              <w:bottom w:val="single" w:sz="4" w:color="D9D9D9"/>
              <w:right w:val="single" w:sz="4" w:color="D9D9D9"/>
            </w:tcBorders>
          </w:tcPr>
          <w:p>
            <w:r>
              <w:rPr>
                <w:sz w:val="20"/>
              </w:rPr>
              <w:t>A required date is missing, malformed or lacks a timezone. Investigate its provenance; do not invent a date to force deletion.</w:t>
            </w:r>
          </w:p>
        </w:tc>
      </w:tr>
      <w:tr>
        <w:tc>
          <w:tcPr>
            <w:tcW w:type="dxa" w:w="3240"/>
            <w:vAlign w:val="center"/>
            <w:shd w:fill="F2F5F8"/>
            <w:tcBorders>
              <w:top w:val="single" w:sz="4" w:color="D9D9D9"/>
              <w:left w:val="single" w:sz="4" w:color="D9D9D9"/>
              <w:bottom w:val="single" w:sz="4" w:color="D9D9D9"/>
              <w:right w:val="single" w:sz="4" w:color="D9D9D9"/>
            </w:tcBorders>
          </w:tcPr>
          <w:p>
            <w:r>
              <w:rPr>
                <w:sz w:val="20"/>
              </w:rPr>
              <w:t>active_or_unknown_status</w:t>
            </w:r>
          </w:p>
        </w:tc>
        <w:tc>
          <w:tcPr>
            <w:tcW w:type="dxa" w:w="6696"/>
            <w:vAlign w:val="center"/>
            <w:shd w:fill="F2F5F8"/>
            <w:tcBorders>
              <w:top w:val="single" w:sz="4" w:color="D9D9D9"/>
              <w:left w:val="single" w:sz="4" w:color="D9D9D9"/>
              <w:bottom w:val="single" w:sz="4" w:color="D9D9D9"/>
              <w:right w:val="single" w:sz="4" w:color="D9D9D9"/>
            </w:tcBorders>
          </w:tcPr>
          <w:p>
            <w:r>
              <w:rPr>
                <w:sz w:val="20"/>
              </w:rPr>
              <w:t>The record has an active or unrecognized status. Investigate stale jobs through normal operations.</w:t>
            </w:r>
          </w:p>
        </w:tc>
      </w:tr>
      <w:tr>
        <w:tc>
          <w:tcPr>
            <w:tcW w:type="dxa" w:w="3240"/>
            <w:vAlign w:val="center"/>
            <w:shd w:fill="FFFFFF"/>
            <w:tcBorders>
              <w:top w:val="single" w:sz="4" w:color="D9D9D9"/>
              <w:left w:val="single" w:sz="4" w:color="D9D9D9"/>
              <w:bottom w:val="single" w:sz="4" w:color="D9D9D9"/>
              <w:right w:val="single" w:sz="4" w:color="D9D9D9"/>
            </w:tcBorders>
          </w:tcPr>
          <w:p>
            <w:r>
              <w:rPr>
                <w:sz w:val="20"/>
              </w:rPr>
              <w:t>active_or_unknown_child_status</w:t>
            </w:r>
          </w:p>
        </w:tc>
        <w:tc>
          <w:tcPr>
            <w:tcW w:type="dxa" w:w="6696"/>
            <w:vAlign w:val="center"/>
            <w:shd w:fill="FFFFFF"/>
            <w:tcBorders>
              <w:top w:val="single" w:sz="4" w:color="D9D9D9"/>
              <w:left w:val="single" w:sz="4" w:color="D9D9D9"/>
              <w:bottom w:val="single" w:sz="4" w:color="D9D9D9"/>
              <w:right w:val="single" w:sz="4" w:color="D9D9D9"/>
            </w:tcBorders>
          </w:tcPr>
          <w:p>
            <w:r>
              <w:rPr>
                <w:sz w:val="20"/>
              </w:rPr>
              <w:t>An RCA child is still active or has an unrecognized status. The entire request stays protected.</w:t>
            </w:r>
          </w:p>
        </w:tc>
      </w:tr>
      <w:tr>
        <w:tc>
          <w:tcPr>
            <w:tcW w:type="dxa" w:w="3240"/>
            <w:vAlign w:val="center"/>
            <w:shd w:fill="F2F5F8"/>
            <w:tcBorders>
              <w:top w:val="single" w:sz="4" w:color="D9D9D9"/>
              <w:left w:val="single" w:sz="4" w:color="D9D9D9"/>
              <w:bottom w:val="single" w:sz="4" w:color="D9D9D9"/>
              <w:right w:val="single" w:sz="4" w:color="D9D9D9"/>
            </w:tcBorders>
          </w:tcPr>
          <w:p>
            <w:r>
              <w:rPr>
                <w:sz w:val="20"/>
              </w:rPr>
              <w:t>retained_rca_reference</w:t>
            </w:r>
          </w:p>
        </w:tc>
        <w:tc>
          <w:tcPr>
            <w:tcW w:type="dxa" w:w="6696"/>
            <w:vAlign w:val="center"/>
            <w:shd w:fill="F2F5F8"/>
            <w:tcBorders>
              <w:top w:val="single" w:sz="4" w:color="D9D9D9"/>
              <w:left w:val="single" w:sz="4" w:color="D9D9D9"/>
              <w:bottom w:val="single" w:sz="4" w:color="D9D9D9"/>
              <w:right w:val="single" w:sz="4" w:color="D9D9D9"/>
            </w:tcBorders>
          </w:tcPr>
          <w:p>
            <w:r>
              <w:rPr>
                <w:sz w:val="20"/>
              </w:rPr>
              <w:t>A retained RCA tool event references the execution run. The run is preserved.</w:t>
            </w:r>
          </w:p>
        </w:tc>
      </w:tr>
      <w:tr>
        <w:tc>
          <w:tcPr>
            <w:tcW w:type="dxa" w:w="3240"/>
            <w:vAlign w:val="center"/>
            <w:shd w:fill="FFFFFF"/>
            <w:tcBorders>
              <w:top w:val="single" w:sz="4" w:color="D9D9D9"/>
              <w:left w:val="single" w:sz="4" w:color="D9D9D9"/>
              <w:bottom w:val="single" w:sz="4" w:color="D9D9D9"/>
              <w:right w:val="single" w:sz="4" w:color="D9D9D9"/>
            </w:tcBorders>
          </w:tcPr>
          <w:p>
            <w:r>
              <w:rPr>
                <w:sz w:val="20"/>
              </w:rPr>
              <w:t>active_session</w:t>
            </w:r>
          </w:p>
        </w:tc>
        <w:tc>
          <w:tcPr>
            <w:tcW w:type="dxa" w:w="6696"/>
            <w:vAlign w:val="center"/>
            <w:shd w:fill="FFFFFF"/>
            <w:tcBorders>
              <w:top w:val="single" w:sz="4" w:color="D9D9D9"/>
              <w:left w:val="single" w:sz="4" w:color="D9D9D9"/>
              <w:bottom w:val="single" w:sz="4" w:color="D9D9D9"/>
              <w:right w:val="single" w:sz="4" w:color="D9D9D9"/>
            </w:tcBorders>
          </w:tcPr>
          <w:p>
            <w:r>
              <w:rPr>
                <w:sz w:val="20"/>
              </w:rPr>
              <w:t>The session has not expired and is not effectively revoked. Old creation alone is insufficient.</w:t>
            </w:r>
          </w:p>
        </w:tc>
      </w:tr>
      <w:tr>
        <w:tc>
          <w:tcPr>
            <w:tcW w:type="dxa" w:w="3240"/>
            <w:vAlign w:val="center"/>
            <w:shd w:fill="F2F5F8"/>
            <w:tcBorders>
              <w:top w:val="single" w:sz="4" w:color="D9D9D9"/>
              <w:left w:val="single" w:sz="4" w:color="D9D9D9"/>
              <w:bottom w:val="single" w:sz="4" w:color="D9D9D9"/>
              <w:right w:val="single" w:sz="4" w:color="D9D9D9"/>
            </w:tcBorders>
          </w:tcPr>
          <w:p>
            <w:r>
              <w:rPr>
                <w:sz w:val="20"/>
              </w:rPr>
              <w:t>cross_request_reference</w:t>
            </w:r>
          </w:p>
        </w:tc>
        <w:tc>
          <w:tcPr>
            <w:tcW w:type="dxa" w:w="6696"/>
            <w:vAlign w:val="center"/>
            <w:shd w:fill="F2F5F8"/>
            <w:tcBorders>
              <w:top w:val="single" w:sz="4" w:color="D9D9D9"/>
              <w:left w:val="single" w:sz="4" w:color="D9D9D9"/>
              <w:bottom w:val="single" w:sz="4" w:color="D9D9D9"/>
              <w:right w:val="single" w:sz="4" w:color="D9D9D9"/>
            </w:tcBorders>
          </w:tcPr>
          <w:p>
            <w:r>
              <w:rPr>
                <w:sz w:val="20"/>
              </w:rPr>
              <w:t>Evidence references a tool call or invocation belonging to another request. Cleanup preserves that request for investigation.</w:t>
            </w:r>
          </w:p>
        </w:tc>
      </w:tr>
    </w:tbl>
    <w:p/>
    <w:p>
      <w:r>
        <w:t>A completed RCA request from six years ago is retained if its explanation was retried yesterday. All relevant request and child dates must precede the cutoff. Old pending or processing requests are not automatically expired or cancelled by retention.</w:t>
      </w:r>
    </w:p>
    <w:p>
      <w:r>
        <w:t>Sessions require an old creation date and must already be expired or revoked. Their expiry or revocation can be more recent than the retention cutoff. User accounts are preserved. Local Console command history already has a separate application limit of 500 entries per terminal and user; this age-based utility does not replace that behavior.</w:t>
      </w:r>
    </w:p>
    <w:p>
      <w:pPr>
        <w:pStyle w:val="Heading1"/>
      </w:pPr>
      <w:r>
        <w:t>8 Capture reports and review the outcome</w:t>
      </w:r>
    </w:p>
    <w:p>
      <w:r>
        <w:t>Save preview output to a file before execution. Shell redirection creates a report file; the preview itself remains read-only:</w:t>
      </w:r>
    </w:p>
    <w:p>
      <w:pPr>
        <w:pStyle w:val="Code"/>
      </w:pPr>
      <w:r>
        <w:t>python -m loghawk.admin.database_retention --role server --older-than-years 5 &gt; retention-preview.json</w:t>
      </w:r>
    </w:p>
    <w:p>
      <w:r>
        <w:t>Execution emits a JSON object per committed batch followed by an indented final JSON report. Capture it as a log, not as a single JSON document:</w:t>
      </w:r>
    </w:p>
    <w:p>
      <w:pPr>
        <w:pStyle w:val="Code"/>
      </w:pPr>
      <w:r>
        <w:t>python -m loghawk.admin.database_retention --role server --older-than-years 5 --execute &gt; retention-execute.log 2&gt;&amp;1</w:t>
      </w:r>
    </w:p>
    <w:p>
      <w:r>
        <w:t>Check the exit status: echo %ERRORLEVEL% in Windows Command Prompt, $LASTEXITCODE in PowerShell, or echo $? in Bash. Zero indicates completion; nonzero indicates a problem. Keep the report, cutoff, operator and backup reference according to your administration policy.</w:t>
      </w:r>
    </w:p>
    <w:p>
      <w:r>
        <w:t>Run preview again with the same cutoff. Review remaining protected records. Confirm required business records and recent RCA History remain available. Row deletion does not necessarily shrink the SQLite file; SQLite can reuse free pages. File compaction or PostgreSQL vacuum maintenance is a separate DBA operation and is not performed by this module.</w:t>
      </w:r>
    </w:p>
    <w:p>
      <w:pPr>
        <w:pStyle w:val="Heading1"/>
      </w:pPr>
      <w:r>
        <w:t>9 Troubleshoot maintenance problems</w:t>
      </w:r>
    </w:p>
    <w:tbl>
      <w:tblPr>
        <w:tblW w:type="auto" w:w="0"/>
        <w:tblLayout w:type="fixed"/>
        <w:tblLook w:firstColumn="1" w:firstRow="1" w:lastColumn="0" w:lastRow="0" w:noHBand="0" w:noVBand="1" w:val="04A0"/>
      </w:tblPr>
      <w:tblGrid>
        <w:gridCol w:w="2880"/>
        <w:gridCol w:w="7056"/>
      </w:tblGrid>
      <w:tr>
        <w:trPr>
          <w:tblHeader/>
        </w:trPr>
        <w:tc>
          <w:tcPr>
            <w:tcW w:type="dxa" w:w="2880"/>
            <w:vAlign w:val="center"/>
            <w:shd w:fill="17365D"/>
            <w:tcBorders>
              <w:top w:val="single" w:sz="4" w:color="D9D9D9"/>
              <w:left w:val="single" w:sz="4" w:color="D9D9D9"/>
              <w:bottom w:val="single" w:sz="4" w:color="D9D9D9"/>
              <w:right w:val="single" w:sz="4" w:color="D9D9D9"/>
            </w:tcBorders>
          </w:tcPr>
          <w:p>
            <w:r>
              <w:rPr>
                <w:b/>
                <w:color w:val="FFFFFF"/>
                <w:sz w:val="20"/>
              </w:rPr>
              <w:t>Problem</w:t>
            </w:r>
          </w:p>
        </w:tc>
        <w:tc>
          <w:tcPr>
            <w:tcW w:type="dxa" w:w="7056"/>
            <w:vAlign w:val="center"/>
            <w:shd w:fill="17365D"/>
            <w:tcBorders>
              <w:top w:val="single" w:sz="4" w:color="D9D9D9"/>
              <w:left w:val="single" w:sz="4" w:color="D9D9D9"/>
              <w:bottom w:val="single" w:sz="4" w:color="D9D9D9"/>
              <w:right w:val="single" w:sz="4" w:color="D9D9D9"/>
            </w:tcBorders>
          </w:tcPr>
          <w:p>
            <w:r>
              <w:rPr>
                <w:b/>
                <w:color w:val="FFFFFF"/>
                <w:sz w:val="20"/>
              </w:rPr>
              <w:t>What to check</w:t>
            </w:r>
          </w:p>
        </w:tc>
      </w:tr>
      <w:tr>
        <w:tc>
          <w:tcPr>
            <w:tcW w:type="dxa" w:w="2880"/>
            <w:vAlign w:val="center"/>
            <w:shd w:fill="F2F5F8"/>
            <w:tcBorders>
              <w:top w:val="single" w:sz="4" w:color="D9D9D9"/>
              <w:left w:val="single" w:sz="4" w:color="D9D9D9"/>
              <w:bottom w:val="single" w:sz="4" w:color="D9D9D9"/>
              <w:right w:val="single" w:sz="4" w:color="D9D9D9"/>
            </w:tcBorders>
          </w:tcPr>
          <w:p>
            <w:r>
              <w:rPr>
                <w:sz w:val="20"/>
              </w:rPr>
              <w:t>Required schema is missing</w:t>
            </w:r>
          </w:p>
        </w:tc>
        <w:tc>
          <w:tcPr>
            <w:tcW w:type="dxa" w:w="7056"/>
            <w:vAlign w:val="center"/>
            <w:shd w:fill="F2F5F8"/>
            <w:tcBorders>
              <w:top w:val="single" w:sz="4" w:color="D9D9D9"/>
              <w:left w:val="single" w:sz="4" w:color="D9D9D9"/>
              <w:bottom w:val="single" w:sz="4" w:color="D9D9D9"/>
              <w:right w:val="single" w:sz="4" w:color="D9D9D9"/>
            </w:tcBorders>
          </w:tcPr>
          <w:p>
            <w:r>
              <w:rPr>
                <w:sz w:val="20"/>
              </w:rPr>
              <w:t>Check the correct checkout and database. Apply pending migrations through normal initialization before retrying.</w:t>
            </w:r>
          </w:p>
        </w:tc>
      </w:tr>
      <w:tr>
        <w:tc>
          <w:tcPr>
            <w:tcW w:type="dxa" w:w="2880"/>
            <w:vAlign w:val="center"/>
            <w:shd w:fill="FFFFFF"/>
            <w:tcBorders>
              <w:top w:val="single" w:sz="4" w:color="D9D9D9"/>
              <w:left w:val="single" w:sz="4" w:color="D9D9D9"/>
              <w:bottom w:val="single" w:sz="4" w:color="D9D9D9"/>
              <w:right w:val="single" w:sz="4" w:color="D9D9D9"/>
            </w:tcBorders>
          </w:tcPr>
          <w:p>
            <w:r>
              <w:rPr>
                <w:sz w:val="20"/>
              </w:rPr>
              <w:t>Database does not exist</w:t>
            </w:r>
          </w:p>
        </w:tc>
        <w:tc>
          <w:tcPr>
            <w:tcW w:type="dxa" w:w="7056"/>
            <w:vAlign w:val="center"/>
            <w:shd w:fill="FFFFFF"/>
            <w:tcBorders>
              <w:top w:val="single" w:sz="4" w:color="D9D9D9"/>
              <w:left w:val="single" w:sz="4" w:color="D9D9D9"/>
              <w:bottom w:val="single" w:sz="4" w:color="D9D9D9"/>
              <w:right w:val="single" w:sz="4" w:color="D9D9D9"/>
            </w:tcBorders>
          </w:tcPr>
          <w:p>
            <w:r>
              <w:rPr>
                <w:sz w:val="20"/>
              </w:rPr>
              <w:t>Verify the selected role and effective URL. Maintenance intentionally refuses to create a missing SQLite database.</w:t>
            </w:r>
          </w:p>
        </w:tc>
      </w:tr>
      <w:tr>
        <w:tc>
          <w:tcPr>
            <w:tcW w:type="dxa" w:w="2880"/>
            <w:vAlign w:val="center"/>
            <w:shd w:fill="F2F5F8"/>
            <w:tcBorders>
              <w:top w:val="single" w:sz="4" w:color="D9D9D9"/>
              <w:left w:val="single" w:sz="4" w:color="D9D9D9"/>
              <w:bottom w:val="single" w:sz="4" w:color="D9D9D9"/>
              <w:right w:val="single" w:sz="4" w:color="D9D9D9"/>
            </w:tcBorders>
          </w:tcPr>
          <w:p>
            <w:r>
              <w:rPr>
                <w:sz w:val="20"/>
              </w:rPr>
              <w:t>Permission or connection error</w:t>
            </w:r>
          </w:p>
        </w:tc>
        <w:tc>
          <w:tcPr>
            <w:tcW w:type="dxa" w:w="7056"/>
            <w:vAlign w:val="center"/>
            <w:shd w:fill="F2F5F8"/>
            <w:tcBorders>
              <w:top w:val="single" w:sz="4" w:color="D9D9D9"/>
              <w:left w:val="single" w:sz="4" w:color="D9D9D9"/>
              <w:bottom w:val="single" w:sz="4" w:color="D9D9D9"/>
              <w:right w:val="single" w:sz="4" w:color="D9D9D9"/>
            </w:tcBorders>
          </w:tcPr>
          <w:p>
            <w:r>
              <w:rPr>
                <w:sz w:val="20"/>
              </w:rPr>
              <w:t>Check filesystem permissions or PostgreSQL credentials and connectivity. Error messages omit sensitive driver details.</w:t>
            </w:r>
          </w:p>
        </w:tc>
      </w:tr>
      <w:tr>
        <w:tc>
          <w:tcPr>
            <w:tcW w:type="dxa" w:w="2880"/>
            <w:vAlign w:val="center"/>
            <w:shd w:fill="FFFFFF"/>
            <w:tcBorders>
              <w:top w:val="single" w:sz="4" w:color="D9D9D9"/>
              <w:left w:val="single" w:sz="4" w:color="D9D9D9"/>
              <w:bottom w:val="single" w:sz="4" w:color="D9D9D9"/>
              <w:right w:val="single" w:sz="4" w:color="D9D9D9"/>
            </w:tcBorders>
          </w:tcPr>
          <w:p>
            <w:r>
              <w:rPr>
                <w:sz w:val="20"/>
              </w:rPr>
              <w:t>Lock timeout</w:t>
            </w:r>
          </w:p>
        </w:tc>
        <w:tc>
          <w:tcPr>
            <w:tcW w:type="dxa" w:w="7056"/>
            <w:vAlign w:val="center"/>
            <w:shd w:fill="FFFFFF"/>
            <w:tcBorders>
              <w:top w:val="single" w:sz="4" w:color="D9D9D9"/>
              <w:left w:val="single" w:sz="4" w:color="D9D9D9"/>
              <w:bottom w:val="single" w:sz="4" w:color="D9D9D9"/>
              <w:right w:val="single" w:sz="4" w:color="D9D9D9"/>
            </w:tcBorders>
          </w:tcPr>
          <w:p>
            <w:r>
              <w:rPr>
                <w:sz w:val="20"/>
              </w:rPr>
              <w:t>Wait for conflicting transactions to finish or use a maintenance window. Smaller batches may reduce write-lock duration.</w:t>
            </w:r>
          </w:p>
        </w:tc>
      </w:tr>
      <w:tr>
        <w:tc>
          <w:tcPr>
            <w:tcW w:type="dxa" w:w="2880"/>
            <w:vAlign w:val="center"/>
            <w:shd w:fill="F2F5F8"/>
            <w:tcBorders>
              <w:top w:val="single" w:sz="4" w:color="D9D9D9"/>
              <w:left w:val="single" w:sz="4" w:color="D9D9D9"/>
              <w:bottom w:val="single" w:sz="4" w:color="D9D9D9"/>
              <w:right w:val="single" w:sz="4" w:color="D9D9D9"/>
            </w:tcBorders>
          </w:tcPr>
          <w:p>
            <w:r>
              <w:rPr>
                <w:sz w:val="20"/>
              </w:rPr>
              <w:t>No eligible records</w:t>
            </w:r>
          </w:p>
        </w:tc>
        <w:tc>
          <w:tcPr>
            <w:tcW w:type="dxa" w:w="7056"/>
            <w:vAlign w:val="center"/>
            <w:shd w:fill="F2F5F8"/>
            <w:tcBorders>
              <w:top w:val="single" w:sz="4" w:color="D9D9D9"/>
              <w:left w:val="single" w:sz="4" w:color="D9D9D9"/>
              <w:bottom w:val="single" w:sz="4" w:color="D9D9D9"/>
              <w:right w:val="single" w:sz="4" w:color="D9D9D9"/>
            </w:tcBorders>
          </w:tcPr>
          <w:p>
            <w:r>
              <w:rPr>
                <w:sz w:val="20"/>
              </w:rPr>
              <w:t>Review cutoff, terminal statuses, recent child activity and protected counts. This may be the correct outcome.</w:t>
            </w:r>
          </w:p>
        </w:tc>
      </w:tr>
      <w:tr>
        <w:tc>
          <w:tcPr>
            <w:tcW w:type="dxa" w:w="2880"/>
            <w:vAlign w:val="center"/>
            <w:shd w:fill="FFFFFF"/>
            <w:tcBorders>
              <w:top w:val="single" w:sz="4" w:color="D9D9D9"/>
              <w:left w:val="single" w:sz="4" w:color="D9D9D9"/>
              <w:bottom w:val="single" w:sz="4" w:color="D9D9D9"/>
              <w:right w:val="single" w:sz="4" w:color="D9D9D9"/>
            </w:tcBorders>
          </w:tcPr>
          <w:p>
            <w:r>
              <w:rPr>
                <w:sz w:val="20"/>
              </w:rPr>
              <w:t>Unsupported relationship</w:t>
            </w:r>
          </w:p>
        </w:tc>
        <w:tc>
          <w:tcPr>
            <w:tcW w:type="dxa" w:w="7056"/>
            <w:vAlign w:val="center"/>
            <w:shd w:fill="FFFFFF"/>
            <w:tcBorders>
              <w:top w:val="single" w:sz="4" w:color="D9D9D9"/>
              <w:left w:val="single" w:sz="4" w:color="D9D9D9"/>
              <w:bottom w:val="single" w:sz="4" w:color="D9D9D9"/>
              <w:right w:val="single" w:sz="4" w:color="D9D9D9"/>
            </w:tcBorders>
          </w:tcPr>
          <w:p>
            <w:r>
              <w:rPr>
                <w:sz w:val="20"/>
              </w:rPr>
              <w:t>A new incoming foreign-key relationship is not covered by the cleanup policy. Review the implementation before proceeding.</w:t>
            </w:r>
          </w:p>
        </w:tc>
      </w:tr>
      <w:tr>
        <w:tc>
          <w:tcPr>
            <w:tcW w:type="dxa" w:w="2880"/>
            <w:vAlign w:val="center"/>
            <w:shd w:fill="F2F5F8"/>
            <w:tcBorders>
              <w:top w:val="single" w:sz="4" w:color="D9D9D9"/>
              <w:left w:val="single" w:sz="4" w:color="D9D9D9"/>
              <w:bottom w:val="single" w:sz="4" w:color="D9D9D9"/>
              <w:right w:val="single" w:sz="4" w:color="D9D9D9"/>
            </w:tcBorders>
          </w:tcPr>
          <w:p>
            <w:r>
              <w:rPr>
                <w:sz w:val="20"/>
              </w:rPr>
              <w:t>Interrupted after some batches</w:t>
            </w:r>
          </w:p>
        </w:tc>
        <w:tc>
          <w:tcPr>
            <w:tcW w:type="dxa" w:w="7056"/>
            <w:vAlign w:val="center"/>
            <w:shd w:fill="F2F5F8"/>
            <w:tcBorders>
              <w:top w:val="single" w:sz="4" w:color="D9D9D9"/>
              <w:left w:val="single" w:sz="4" w:color="D9D9D9"/>
              <w:bottom w:val="single" w:sz="4" w:color="D9D9D9"/>
              <w:right w:val="single" w:sz="4" w:color="D9D9D9"/>
            </w:tcBorders>
          </w:tcPr>
          <w:p>
            <w:r>
              <w:rPr>
                <w:sz w:val="20"/>
              </w:rPr>
              <w:t>Committed batches remain deleted. Inspect the log, take a fresh preview and resume only after resolving the cause.</w:t>
            </w:r>
          </w:p>
        </w:tc>
      </w:tr>
    </w:tbl>
    <w:p/>
    <w:p>
      <w:pPr>
        <w:pStyle w:val="Heading1"/>
      </w:pPr>
      <w:r>
        <w:t>10 Schedule only after reviewing the policy</w:t>
      </w:r>
    </w:p>
    <w:p>
      <w:r>
        <w:t>First validate preview and cleanup on a disposable restored database with your DBA. Establish retention obligations, backup handling and an execution window. Scheduling is optional; LogHawk does not install a retention job automatically.</w:t>
      </w:r>
    </w:p>
    <w:p>
      <w:r>
        <w:t>Example monthly preview in cron. Replace both absolute paths with the correct interpreter and writable report directory. This example only previews:</w:t>
      </w:r>
    </w:p>
    <w:p>
      <w:pPr>
        <w:pStyle w:val="Code"/>
      </w:pPr>
      <w:r>
        <w:t>0 2 1 * * /absolute/path/to/python -m loghawk.admin.database_retention --role server --older-than-years 5 &gt;&gt; /absolute/path/retention-preview.log 2&gt;&amp;1</w:t>
      </w:r>
    </w:p>
    <w:p>
      <w:r>
        <w:t>After approval of the policy, add --execute to the scheduled command. For local Console cleanup, use its interpreter and --role console in a separate job. Ensure jobs cannot overlap and use log rotation; the module does not enforce a scheduler-level lock.</w:t>
      </w:r>
    </w:p>
    <w:p>
      <w:r>
        <w:t>On Windows, create a Task Scheduler action with the absolute python.exe path, the module arguments above, and the repository as Start in. Configure the job not to start a second instance while running. Run under an account with only the database access required. Do not rely on an interactive activated environment in a scheduled job.</w:t>
      </w:r>
    </w:p>
    <w:p>
      <w:pPr>
        <w:pStyle w:val="Heading1"/>
      </w:pPr>
      <w:r>
        <w:t>11 Final operator checklist</w:t>
      </w:r>
    </w:p>
    <w:p>
      <w:pPr>
        <w:pStyle w:val="ListBullet"/>
      </w:pPr>
      <w:r>
        <w:t>Confirm the intended server or Console database and installed checkout.</w:t>
      </w:r>
    </w:p>
    <w:p>
      <w:pPr>
        <w:pStyle w:val="ListBullet"/>
      </w:pPr>
      <w:r>
        <w:t>Back up consistently and verify how to restore.</w:t>
      </w:r>
    </w:p>
    <w:p>
      <w:pPr>
        <w:pStyle w:val="ListBullet"/>
      </w:pPr>
      <w:r>
        <w:t>Apply and review pending schema migrations before cleanup.</w:t>
      </w:r>
    </w:p>
    <w:p>
      <w:pPr>
        <w:pStyle w:val="ListBullet"/>
      </w:pPr>
      <w:r>
        <w:t>Choose a documented cutoff and run preview.</w:t>
      </w:r>
    </w:p>
    <w:p>
      <w:pPr>
        <w:pStyle w:val="ListBullet"/>
      </w:pPr>
      <w:r>
        <w:t>Review eligible and protected counts, including RCA dependents.</w:t>
      </w:r>
    </w:p>
    <w:p>
      <w:pPr>
        <w:pStyle w:val="ListBullet"/>
      </w:pPr>
      <w:r>
        <w:t>Execute only after reviewing the deletion scope.</w:t>
      </w:r>
    </w:p>
    <w:p>
      <w:pPr>
        <w:pStyle w:val="ListBullet"/>
      </w:pPr>
      <w:r>
        <w:t>Keep batch reports and investigate any nonzero exit status.</w:t>
      </w:r>
    </w:p>
    <w:p>
      <w:pPr>
        <w:pStyle w:val="ListBullet"/>
      </w:pPr>
      <w:r>
        <w:t>Rerun preview and review retained records. Schedule only after the procedure has been validated.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LogHawk database retention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