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3175" w:rsidRDefault="00C80546">
      <w:pPr>
        <w:spacing w:after="60"/>
      </w:pPr>
      <w:r>
        <w:rPr>
          <w:rFonts w:ascii="Calibri" w:eastAsia="Calibri" w:hAnsi="Calibri" w:cs="Calibri"/>
          <w:b/>
          <w:bCs/>
          <w:color w:val="1F3A5F"/>
          <w:sz w:val="44"/>
          <w:szCs w:val="44"/>
        </w:rPr>
        <w:t>Generative AI Use and Student Outcomes</w:t>
      </w:r>
    </w:p>
    <w:p w:rsidR="005B3175" w:rsidRDefault="00C80546">
      <w:pPr>
        <w:pStyle w:val="Heading1"/>
        <w:spacing w:before="280" w:after="120"/>
      </w:pPr>
      <w:r>
        <w:rPr>
          <w:rFonts w:ascii="Calibri" w:eastAsia="Calibri" w:hAnsi="Calibri" w:cs="Calibri"/>
          <w:b/>
          <w:bCs/>
          <w:color w:val="1F3A5F"/>
          <w:sz w:val="30"/>
          <w:szCs w:val="30"/>
        </w:rPr>
        <w:t>Overview</w:t>
      </w:r>
    </w:p>
    <w:p w:rsidR="005B3175" w:rsidRDefault="00C80546">
      <w:pPr>
        <w:spacing w:after="120"/>
      </w:pPr>
      <w:r>
        <w:rPr>
          <w:rFonts w:ascii="Calibri" w:eastAsia="Calibri" w:hAnsi="Calibri" w:cs="Calibri"/>
          <w:sz w:val="22"/>
          <w:szCs w:val="22"/>
        </w:rPr>
        <w:t>The dataset tracks 50,000 students across five majors and five years of study. For each student it records how much they use generative AI, what they use it for, their study habits, and outcomes such as GPA change, exam anxiety, skill retention and burnout</w:t>
      </w:r>
      <w:r>
        <w:rPr>
          <w:rFonts w:ascii="Calibri" w:eastAsia="Calibri" w:hAnsi="Calibri" w:cs="Calibri"/>
          <w:sz w:val="22"/>
          <w:szCs w:val="22"/>
        </w:rPr>
        <w:t xml:space="preserve"> risk. There are no missing values or duplicate student IDs.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440"/>
      </w:tblGrid>
      <w:tr w:rsidR="005B3175">
        <w:tblPrEx>
          <w:tblCellMar>
            <w:top w:w="0" w:type="dxa"/>
            <w:bottom w:w="0" w:type="dxa"/>
          </w:tblCellMar>
        </w:tblPrEx>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5B3175" w:rsidRDefault="00C80546">
            <w:r>
              <w:rPr>
                <w:rFonts w:ascii="Calibri" w:eastAsia="Calibri" w:hAnsi="Calibri" w:cs="Calibri"/>
                <w:b/>
                <w:bCs/>
                <w:color w:val="FFFFFF"/>
              </w:rPr>
              <w:t>Measure</w:t>
            </w:r>
          </w:p>
        </w:tc>
        <w:tc>
          <w:tcPr>
            <w:tcW w:w="444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5B3175" w:rsidRDefault="00C80546">
            <w:pPr>
              <w:jc w:val="center"/>
            </w:pPr>
            <w:r>
              <w:rPr>
                <w:rFonts w:ascii="Calibri" w:eastAsia="Calibri" w:hAnsi="Calibri" w:cs="Calibri"/>
                <w:b/>
                <w:bCs/>
                <w:color w:val="FFFFFF"/>
              </w:rPr>
              <w:t>Value</w:t>
            </w:r>
          </w:p>
        </w:tc>
      </w:tr>
      <w:tr w:rsidR="005B3175">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r>
              <w:rPr>
                <w:rFonts w:ascii="Calibri" w:eastAsia="Calibri" w:hAnsi="Calibri" w:cs="Calibri"/>
                <w:color w:val="000000"/>
              </w:rPr>
              <w:t>Students</w:t>
            </w:r>
          </w:p>
        </w:tc>
        <w:tc>
          <w:tcPr>
            <w:tcW w:w="4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pPr>
              <w:jc w:val="center"/>
            </w:pPr>
            <w:r>
              <w:rPr>
                <w:rFonts w:ascii="Calibri" w:eastAsia="Calibri" w:hAnsi="Calibri" w:cs="Calibri"/>
                <w:color w:val="000000"/>
              </w:rPr>
              <w:t>50,000</w:t>
            </w:r>
          </w:p>
        </w:tc>
      </w:tr>
      <w:tr w:rsidR="005B3175">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r>
              <w:rPr>
                <w:rFonts w:ascii="Calibri" w:eastAsia="Calibri" w:hAnsi="Calibri" w:cs="Calibri"/>
                <w:color w:val="000000"/>
              </w:rPr>
              <w:t xml:space="preserve">Average weekly </w:t>
            </w:r>
            <w:proofErr w:type="spellStart"/>
            <w:r>
              <w:rPr>
                <w:rFonts w:ascii="Calibri" w:eastAsia="Calibri" w:hAnsi="Calibri" w:cs="Calibri"/>
                <w:color w:val="000000"/>
              </w:rPr>
              <w:t>GenAI</w:t>
            </w:r>
            <w:proofErr w:type="spellEnd"/>
            <w:r>
              <w:rPr>
                <w:rFonts w:ascii="Calibri" w:eastAsia="Calibri" w:hAnsi="Calibri" w:cs="Calibri"/>
                <w:color w:val="000000"/>
              </w:rPr>
              <w:t xml:space="preserve"> hours</w:t>
            </w:r>
          </w:p>
        </w:tc>
        <w:tc>
          <w:tcPr>
            <w:tcW w:w="4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pPr>
              <w:jc w:val="center"/>
            </w:pPr>
            <w:r>
              <w:rPr>
                <w:rFonts w:ascii="Calibri" w:eastAsia="Calibri" w:hAnsi="Calibri" w:cs="Calibri"/>
                <w:color w:val="000000"/>
              </w:rPr>
              <w:t>8.4 (median 5.8, max 40)</w:t>
            </w:r>
          </w:p>
        </w:tc>
      </w:tr>
      <w:tr w:rsidR="005B3175">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r>
              <w:rPr>
                <w:rFonts w:ascii="Calibri" w:eastAsia="Calibri" w:hAnsi="Calibri" w:cs="Calibri"/>
                <w:color w:val="000000"/>
              </w:rPr>
              <w:t>Average traditional study hours</w:t>
            </w:r>
          </w:p>
        </w:tc>
        <w:tc>
          <w:tcPr>
            <w:tcW w:w="4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pPr>
              <w:jc w:val="center"/>
            </w:pPr>
            <w:r>
              <w:rPr>
                <w:rFonts w:ascii="Calibri" w:eastAsia="Calibri" w:hAnsi="Calibri" w:cs="Calibri"/>
                <w:color w:val="000000"/>
              </w:rPr>
              <w:t>11.2 per week</w:t>
            </w:r>
          </w:p>
        </w:tc>
      </w:tr>
      <w:tr w:rsidR="005B3175">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r>
              <w:rPr>
                <w:rFonts w:ascii="Calibri" w:eastAsia="Calibri" w:hAnsi="Calibri" w:cs="Calibri"/>
                <w:color w:val="000000"/>
              </w:rPr>
              <w:t>Average GPA (before → after)</w:t>
            </w:r>
          </w:p>
        </w:tc>
        <w:tc>
          <w:tcPr>
            <w:tcW w:w="4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pPr>
              <w:jc w:val="center"/>
            </w:pPr>
            <w:r>
              <w:rPr>
                <w:rFonts w:ascii="Calibri" w:eastAsia="Calibri" w:hAnsi="Calibri" w:cs="Calibri"/>
                <w:color w:val="000000"/>
              </w:rPr>
              <w:t>3.15 → 3.35 (+0.20)</w:t>
            </w:r>
          </w:p>
        </w:tc>
      </w:tr>
      <w:tr w:rsidR="005B3175">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r>
              <w:rPr>
                <w:rFonts w:ascii="Calibri" w:eastAsia="Calibri" w:hAnsi="Calibri" w:cs="Calibri"/>
                <w:color w:val="000000"/>
              </w:rPr>
              <w:t>Average skill retention score</w:t>
            </w:r>
          </w:p>
        </w:tc>
        <w:tc>
          <w:tcPr>
            <w:tcW w:w="4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pPr>
              <w:jc w:val="center"/>
            </w:pPr>
            <w:r>
              <w:rPr>
                <w:rFonts w:ascii="Calibri" w:eastAsia="Calibri" w:hAnsi="Calibri" w:cs="Calibri"/>
                <w:color w:val="000000"/>
              </w:rPr>
              <w:t>75.8 / 100</w:t>
            </w:r>
          </w:p>
        </w:tc>
      </w:tr>
      <w:tr w:rsidR="005B3175">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r>
              <w:rPr>
                <w:rFonts w:ascii="Calibri" w:eastAsia="Calibri" w:hAnsi="Calibri" w:cs="Calibri"/>
                <w:color w:val="000000"/>
              </w:rPr>
              <w:t>Students on a paid subscription</w:t>
            </w:r>
          </w:p>
        </w:tc>
        <w:tc>
          <w:tcPr>
            <w:tcW w:w="4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pPr>
              <w:jc w:val="center"/>
            </w:pPr>
            <w:r>
              <w:rPr>
                <w:rFonts w:ascii="Calibri" w:eastAsia="Calibri" w:hAnsi="Calibri" w:cs="Calibri"/>
                <w:color w:val="000000"/>
              </w:rPr>
              <w:t>42.3%</w:t>
            </w:r>
          </w:p>
        </w:tc>
      </w:tr>
      <w:tr w:rsidR="005B3175">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r>
              <w:rPr>
                <w:rFonts w:ascii="Calibri" w:eastAsia="Calibri" w:hAnsi="Calibri" w:cs="Calibri"/>
                <w:color w:val="000000"/>
              </w:rPr>
              <w:t>Burnout risk (Low / Medium / High)</w:t>
            </w:r>
          </w:p>
        </w:tc>
        <w:tc>
          <w:tcPr>
            <w:tcW w:w="4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B3175" w:rsidRDefault="00C80546">
            <w:pPr>
              <w:jc w:val="center"/>
            </w:pPr>
            <w:r>
              <w:rPr>
                <w:rFonts w:ascii="Calibri" w:eastAsia="Calibri" w:hAnsi="Calibri" w:cs="Calibri"/>
                <w:color w:val="000000"/>
              </w:rPr>
              <w:t>32.7% / 42.3% / 25.0%</w:t>
            </w:r>
          </w:p>
        </w:tc>
      </w:tr>
    </w:tbl>
    <w:p w:rsidR="005B3175" w:rsidRDefault="00C80546">
      <w:pPr>
        <w:pStyle w:val="Heading1"/>
        <w:spacing w:before="280" w:after="120"/>
      </w:pPr>
      <w:r>
        <w:rPr>
          <w:rFonts w:ascii="Calibri" w:eastAsia="Calibri" w:hAnsi="Calibri" w:cs="Calibri"/>
          <w:b/>
          <w:bCs/>
          <w:color w:val="1F3A5F"/>
          <w:sz w:val="30"/>
          <w:szCs w:val="30"/>
        </w:rPr>
        <w:t>Key Findings</w:t>
      </w:r>
    </w:p>
    <w:p w:rsidR="005B3175" w:rsidRDefault="00C80546">
      <w:pPr>
        <w:pStyle w:val="ListParagraph"/>
        <w:numPr>
          <w:ilvl w:val="0"/>
          <w:numId w:val="2"/>
        </w:numPr>
        <w:spacing w:after="80"/>
      </w:pPr>
      <w:r>
        <w:rPr>
          <w:rFonts w:ascii="Calibri" w:eastAsia="Calibri" w:hAnsi="Calibri" w:cs="Calibri"/>
          <w:b/>
          <w:bCs/>
          <w:sz w:val="22"/>
          <w:szCs w:val="22"/>
        </w:rPr>
        <w:t xml:space="preserve">GPA gains are modest overall. </w:t>
      </w:r>
      <w:r>
        <w:rPr>
          <w:rFonts w:ascii="Calibri" w:eastAsia="Calibri" w:hAnsi="Calibri" w:cs="Calibri"/>
          <w:sz w:val="22"/>
          <w:szCs w:val="22"/>
        </w:rPr>
        <w:t>Average GPA rose by 0.20 points over the semester. The gain is largest for students who use AI 5–20 hours a week, and smallest for those above 20 hours (+0.16).</w:t>
      </w:r>
    </w:p>
    <w:p w:rsidR="005B3175" w:rsidRDefault="00C80546">
      <w:pPr>
        <w:pStyle w:val="ListParagraph"/>
        <w:numPr>
          <w:ilvl w:val="0"/>
          <w:numId w:val="2"/>
        </w:numPr>
        <w:spacing w:after="80"/>
      </w:pPr>
      <w:r>
        <w:rPr>
          <w:rFonts w:ascii="Calibri" w:eastAsia="Calibri" w:hAnsi="Calibri" w:cs="Calibri"/>
          <w:b/>
          <w:bCs/>
          <w:sz w:val="22"/>
          <w:szCs w:val="22"/>
        </w:rPr>
        <w:t xml:space="preserve">Heavy use is linked to burnout and lower retention. </w:t>
      </w:r>
      <w:r>
        <w:rPr>
          <w:rFonts w:ascii="Calibri" w:eastAsia="Calibri" w:hAnsi="Calibri" w:cs="Calibri"/>
          <w:sz w:val="22"/>
          <w:szCs w:val="22"/>
        </w:rPr>
        <w:t>Students using AI more than 20 hours a week</w:t>
      </w:r>
      <w:r>
        <w:rPr>
          <w:rFonts w:ascii="Calibri" w:eastAsia="Calibri" w:hAnsi="Calibri" w:cs="Calibri"/>
          <w:sz w:val="22"/>
          <w:szCs w:val="22"/>
        </w:rPr>
        <w:t xml:space="preserve"> have the lowest skill retention (70.3 vs about 76–77 for lighter users). 74% of them are at high burnout risk, versus 9% of those using 0–2 hours.</w:t>
      </w:r>
    </w:p>
    <w:p w:rsidR="005B3175" w:rsidRDefault="00C80546">
      <w:pPr>
        <w:pStyle w:val="ListParagraph"/>
        <w:numPr>
          <w:ilvl w:val="0"/>
          <w:numId w:val="2"/>
        </w:numPr>
        <w:spacing w:after="80"/>
      </w:pPr>
      <w:r>
        <w:rPr>
          <w:rFonts w:ascii="Calibri" w:eastAsia="Calibri" w:hAnsi="Calibri" w:cs="Calibri"/>
          <w:b/>
          <w:bCs/>
          <w:sz w:val="22"/>
          <w:szCs w:val="22"/>
        </w:rPr>
        <w:t xml:space="preserve">Traditional study still matters most. </w:t>
      </w:r>
      <w:r>
        <w:rPr>
          <w:rFonts w:ascii="Calibri" w:eastAsia="Calibri" w:hAnsi="Calibri" w:cs="Calibri"/>
          <w:sz w:val="22"/>
          <w:szCs w:val="22"/>
        </w:rPr>
        <w:t>Traditional study hours have the strongest link to GPA improvement (correlation 0.38), far stronger than AI hours (−0.05). AI hours and perceived dependency move together (0.67).</w:t>
      </w:r>
    </w:p>
    <w:p w:rsidR="005B3175" w:rsidRDefault="00C80546">
      <w:pPr>
        <w:pStyle w:val="ListParagraph"/>
        <w:numPr>
          <w:ilvl w:val="0"/>
          <w:numId w:val="2"/>
        </w:numPr>
        <w:spacing w:after="80"/>
      </w:pPr>
      <w:r>
        <w:rPr>
          <w:rFonts w:ascii="Calibri" w:eastAsia="Calibri" w:hAnsi="Calibri" w:cs="Calibri"/>
          <w:b/>
          <w:bCs/>
          <w:sz w:val="22"/>
          <w:szCs w:val="22"/>
        </w:rPr>
        <w:t xml:space="preserve">Prompting skill pays off. </w:t>
      </w:r>
      <w:r>
        <w:rPr>
          <w:rFonts w:ascii="Calibri" w:eastAsia="Calibri" w:hAnsi="Calibri" w:cs="Calibri"/>
          <w:sz w:val="22"/>
          <w:szCs w:val="22"/>
        </w:rPr>
        <w:t>Advanced prompt engineers score 82 on skill retenti</w:t>
      </w:r>
      <w:r>
        <w:rPr>
          <w:rFonts w:ascii="Calibri" w:eastAsia="Calibri" w:hAnsi="Calibri" w:cs="Calibri"/>
          <w:sz w:val="22"/>
          <w:szCs w:val="22"/>
        </w:rPr>
        <w:t>on against 71 for beginners, and gain more GPA (+0.25 vs +0.19).</w:t>
      </w:r>
    </w:p>
    <w:p w:rsidR="005B3175" w:rsidRDefault="00C80546">
      <w:pPr>
        <w:pStyle w:val="ListParagraph"/>
        <w:numPr>
          <w:ilvl w:val="0"/>
          <w:numId w:val="2"/>
        </w:numPr>
        <w:spacing w:after="80"/>
      </w:pPr>
      <w:r>
        <w:rPr>
          <w:rFonts w:ascii="Calibri" w:eastAsia="Calibri" w:hAnsi="Calibri" w:cs="Calibri"/>
          <w:b/>
          <w:bCs/>
          <w:sz w:val="22"/>
          <w:szCs w:val="22"/>
        </w:rPr>
        <w:t xml:space="preserve">How AI is used matters. </w:t>
      </w:r>
      <w:r>
        <w:rPr>
          <w:rFonts w:ascii="Calibri" w:eastAsia="Calibri" w:hAnsi="Calibri" w:cs="Calibri"/>
          <w:sz w:val="22"/>
          <w:szCs w:val="22"/>
        </w:rPr>
        <w:t>Students who mainly use AI to generate direct answers gain the least GPA (+0.13) and retain the least (73.7). Debugging/troubleshooting users do best (+0.25, 78.1).</w:t>
      </w:r>
    </w:p>
    <w:p w:rsidR="005B3175" w:rsidRDefault="00C80546">
      <w:pPr>
        <w:pStyle w:val="Heading1"/>
        <w:spacing w:before="280" w:after="120"/>
      </w:pPr>
      <w:bookmarkStart w:id="0" w:name="_GoBack"/>
      <w:bookmarkEnd w:id="0"/>
      <w:r>
        <w:rPr>
          <w:rFonts w:ascii="Calibri" w:eastAsia="Calibri" w:hAnsi="Calibri" w:cs="Calibri"/>
          <w:b/>
          <w:bCs/>
          <w:color w:val="1F3A5F"/>
          <w:sz w:val="30"/>
          <w:szCs w:val="30"/>
        </w:rPr>
        <w:t>Takeaways</w:t>
      </w:r>
    </w:p>
    <w:p w:rsidR="005B3175" w:rsidRDefault="00C80546">
      <w:pPr>
        <w:pStyle w:val="ListParagraph"/>
        <w:numPr>
          <w:ilvl w:val="0"/>
          <w:numId w:val="2"/>
        </w:numPr>
        <w:spacing w:after="80"/>
      </w:pPr>
      <w:r>
        <w:rPr>
          <w:rFonts w:ascii="Calibri" w:eastAsia="Calibri" w:hAnsi="Calibri" w:cs="Calibri"/>
          <w:sz w:val="22"/>
          <w:szCs w:val="22"/>
        </w:rPr>
        <w:t>Moderate AI use (up to about 10–15 hours a week) shows no sign of harm and is associated with the best GPA gains.</w:t>
      </w:r>
    </w:p>
    <w:p w:rsidR="005B3175" w:rsidRDefault="00C80546">
      <w:pPr>
        <w:pStyle w:val="ListParagraph"/>
        <w:numPr>
          <w:ilvl w:val="0"/>
          <w:numId w:val="2"/>
        </w:numPr>
        <w:spacing w:after="80"/>
      </w:pPr>
      <w:r>
        <w:rPr>
          <w:rFonts w:ascii="Calibri" w:eastAsia="Calibri" w:hAnsi="Calibri" w:cs="Calibri"/>
          <w:sz w:val="22"/>
          <w:szCs w:val="22"/>
        </w:rPr>
        <w:t>Above 20 hours a week, the data shows sharply higher burnout, anxiety and dependency, and lower skill retention.</w:t>
      </w:r>
    </w:p>
    <w:p w:rsidR="005B3175" w:rsidRDefault="00C80546">
      <w:pPr>
        <w:pStyle w:val="ListParagraph"/>
        <w:numPr>
          <w:ilvl w:val="0"/>
          <w:numId w:val="2"/>
        </w:numPr>
        <w:spacing w:after="80"/>
      </w:pPr>
      <w:r>
        <w:rPr>
          <w:rFonts w:ascii="Calibri" w:eastAsia="Calibri" w:hAnsi="Calibri" w:cs="Calibri"/>
          <w:sz w:val="22"/>
          <w:szCs w:val="22"/>
        </w:rPr>
        <w:t>Encouraging AI for problem-so</w:t>
      </w:r>
      <w:r>
        <w:rPr>
          <w:rFonts w:ascii="Calibri" w:eastAsia="Calibri" w:hAnsi="Calibri" w:cs="Calibri"/>
          <w:sz w:val="22"/>
          <w:szCs w:val="22"/>
        </w:rPr>
        <w:t>lving and building prompting skills looks more beneficial than relying on it for ready-made answers.</w:t>
      </w:r>
    </w:p>
    <w:p w:rsidR="005B3175" w:rsidRDefault="00C80546">
      <w:pPr>
        <w:pStyle w:val="ListParagraph"/>
        <w:numPr>
          <w:ilvl w:val="0"/>
          <w:numId w:val="2"/>
        </w:numPr>
        <w:spacing w:after="80"/>
      </w:pPr>
      <w:r>
        <w:rPr>
          <w:rFonts w:ascii="Calibri" w:eastAsia="Calibri" w:hAnsi="Calibri" w:cs="Calibri"/>
          <w:sz w:val="22"/>
          <w:szCs w:val="22"/>
        </w:rPr>
        <w:t>These are correlations from observational data, so they do not prove that AI use causes the outcomes.</w:t>
      </w:r>
    </w:p>
    <w:sectPr w:rsidR="005B3175">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835B16"/>
    <w:multiLevelType w:val="hybridMultilevel"/>
    <w:tmpl w:val="6A7A4CD2"/>
    <w:lvl w:ilvl="0" w:tplc="834EEC9E">
      <w:start w:val="1"/>
      <w:numFmt w:val="bullet"/>
      <w:lvlText w:val="•"/>
      <w:lvlJc w:val="left"/>
      <w:pPr>
        <w:ind w:left="540" w:hanging="270"/>
      </w:pPr>
    </w:lvl>
    <w:lvl w:ilvl="1" w:tplc="EB20DF16">
      <w:numFmt w:val="decimal"/>
      <w:lvlText w:val=""/>
      <w:lvlJc w:val="left"/>
    </w:lvl>
    <w:lvl w:ilvl="2" w:tplc="0298E0DE">
      <w:numFmt w:val="decimal"/>
      <w:lvlText w:val=""/>
      <w:lvlJc w:val="left"/>
    </w:lvl>
    <w:lvl w:ilvl="3" w:tplc="640C8AB6">
      <w:numFmt w:val="decimal"/>
      <w:lvlText w:val=""/>
      <w:lvlJc w:val="left"/>
    </w:lvl>
    <w:lvl w:ilvl="4" w:tplc="0EAC1C4A">
      <w:numFmt w:val="decimal"/>
      <w:lvlText w:val=""/>
      <w:lvlJc w:val="left"/>
    </w:lvl>
    <w:lvl w:ilvl="5" w:tplc="A2A2B60E">
      <w:numFmt w:val="decimal"/>
      <w:lvlText w:val=""/>
      <w:lvlJc w:val="left"/>
    </w:lvl>
    <w:lvl w:ilvl="6" w:tplc="BF12A9FC">
      <w:numFmt w:val="decimal"/>
      <w:lvlText w:val=""/>
      <w:lvlJc w:val="left"/>
    </w:lvl>
    <w:lvl w:ilvl="7" w:tplc="A82E9CBA">
      <w:numFmt w:val="decimal"/>
      <w:lvlText w:val=""/>
      <w:lvlJc w:val="left"/>
    </w:lvl>
    <w:lvl w:ilvl="8" w:tplc="1BFE5C44">
      <w:numFmt w:val="decimal"/>
      <w:lvlText w:val=""/>
      <w:lvlJc w:val="left"/>
    </w:lvl>
  </w:abstractNum>
  <w:abstractNum w:abstractNumId="1" w15:restartNumberingAfterBreak="0">
    <w:nsid w:val="635C1E21"/>
    <w:multiLevelType w:val="hybridMultilevel"/>
    <w:tmpl w:val="41361EC8"/>
    <w:lvl w:ilvl="0" w:tplc="548839D8">
      <w:start w:val="1"/>
      <w:numFmt w:val="bullet"/>
      <w:lvlText w:val="●"/>
      <w:lvlJc w:val="left"/>
      <w:pPr>
        <w:ind w:left="720" w:hanging="360"/>
      </w:pPr>
    </w:lvl>
    <w:lvl w:ilvl="1" w:tplc="705CE540">
      <w:start w:val="1"/>
      <w:numFmt w:val="bullet"/>
      <w:lvlText w:val="○"/>
      <w:lvlJc w:val="left"/>
      <w:pPr>
        <w:ind w:left="1440" w:hanging="360"/>
      </w:pPr>
    </w:lvl>
    <w:lvl w:ilvl="2" w:tplc="6E8A33F0">
      <w:start w:val="1"/>
      <w:numFmt w:val="bullet"/>
      <w:lvlText w:val="■"/>
      <w:lvlJc w:val="left"/>
      <w:pPr>
        <w:ind w:left="2160" w:hanging="360"/>
      </w:pPr>
    </w:lvl>
    <w:lvl w:ilvl="3" w:tplc="E83CCDAC">
      <w:start w:val="1"/>
      <w:numFmt w:val="bullet"/>
      <w:lvlText w:val="●"/>
      <w:lvlJc w:val="left"/>
      <w:pPr>
        <w:ind w:left="2880" w:hanging="360"/>
      </w:pPr>
    </w:lvl>
    <w:lvl w:ilvl="4" w:tplc="FC3E99DA">
      <w:start w:val="1"/>
      <w:numFmt w:val="bullet"/>
      <w:lvlText w:val="○"/>
      <w:lvlJc w:val="left"/>
      <w:pPr>
        <w:ind w:left="3600" w:hanging="360"/>
      </w:pPr>
    </w:lvl>
    <w:lvl w:ilvl="5" w:tplc="BDAE6A58">
      <w:start w:val="1"/>
      <w:numFmt w:val="bullet"/>
      <w:lvlText w:val="■"/>
      <w:lvlJc w:val="left"/>
      <w:pPr>
        <w:ind w:left="4320" w:hanging="360"/>
      </w:pPr>
    </w:lvl>
    <w:lvl w:ilvl="6" w:tplc="3448240A">
      <w:start w:val="1"/>
      <w:numFmt w:val="bullet"/>
      <w:lvlText w:val="●"/>
      <w:lvlJc w:val="left"/>
      <w:pPr>
        <w:ind w:left="5040" w:hanging="360"/>
      </w:pPr>
    </w:lvl>
    <w:lvl w:ilvl="7" w:tplc="E4183234">
      <w:start w:val="1"/>
      <w:numFmt w:val="bullet"/>
      <w:lvlText w:val="●"/>
      <w:lvlJc w:val="left"/>
      <w:pPr>
        <w:ind w:left="5760" w:hanging="360"/>
      </w:pPr>
    </w:lvl>
    <w:lvl w:ilvl="8" w:tplc="6E701D6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175"/>
    <w:rsid w:val="005B3175"/>
    <w:rsid w:val="00C80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4DB432"/>
  <w15:docId w15:val="{7D4387AD-CE40-184F-BED7-4877239A5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2026-09-28T11:02:00Z</dcterms:created>
  <dcterms:modified xsi:type="dcterms:W3CDTF">2026-09-28T11:11:00Z</dcterms:modified>
</cp:coreProperties>
</file>