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Demographic</w:t>
      </w:r>
      <w:r>
        <w:t xml:space="preserve"> </w:t>
      </w:r>
      <w:r>
        <w:t xml:space="preserve">Associations</w:t>
      </w:r>
      <w:r>
        <w:t xml:space="preserve"> </w:t>
      </w:r>
      <w:r>
        <w:t xml:space="preserve">(Restricted</w:t>
      </w:r>
      <w:r>
        <w:t xml:space="preserve"> </w:t>
      </w:r>
      <w:r>
        <w:t xml:space="preserve">Tests)</w:t>
      </w:r>
    </w:p>
    <w:bookmarkStart w:id="23" w:name="demographic-associations"/>
    <w:p>
      <w:pPr>
        <w:pStyle w:val="Heading1"/>
      </w:pPr>
      <w:r>
        <w:t xml:space="preserve">Demographic Associations</w:t>
      </w:r>
    </w:p>
    <w:p>
      <w:pPr>
        <w:pStyle w:val="FirstParagraph"/>
      </w:pPr>
      <w:r>
        <w:t xml:space="preserve">This report evaluates how demographic factors (Age, Gender, Marital Status, Education, and Income) relate to Thalassemia knowledge, attitudes, and practices. Following strict methodological requirements,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T-Tests, Chi-Square Tests, and Z-Tests were used for these bivariate analyses.</w:t>
      </w:r>
    </w:p>
    <w:bookmarkStart w:id="20" w:name="Xe79675fc417b84dfb37e941b989e86596d970a9"/>
    <w:p>
      <w:pPr>
        <w:pStyle w:val="Heading2"/>
      </w:pPr>
      <w:r>
        <w:t xml:space="preserve">1. T-Tests (Continuous Scores across Demographics)</w:t>
      </w:r>
    </w:p>
    <w:p>
      <w:pPr>
        <w:pStyle w:val="FirstParagraph"/>
      </w:pPr>
      <w:r>
        <w:t xml:space="preserve">This section evaluates whether the mean continuous scores significantly differ across binary demographic groups.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(p&lt;0.05)?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Expanded_Knowledge_Score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2.3014e-01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Partner_Attitude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2.3281e-01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Cascade_Attitude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5.8266e-01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Cascade_Practice_Score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2.9306e-02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Expanded_Knowledge_Score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7.1443e-02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Partner_Attitude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5.2842e-02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Cascade_Attitude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1.5643e-01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Cascade_Practice_Score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1.3650e-02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Expanded_Knowledge_Score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5.7707e-01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Partner_Attitude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3.8082e-02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Cascade_Attitude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1.4272e-01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Cascade_Practice_Score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1.8978e-01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Expanded_Knowledge_Score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2.0033e-01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Partner_Attitude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1.2165e-01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Cascade_Attitude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9.6841e-01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Cascade_Practice_Score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7.8422e-01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Expanded_Knowledge_Score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1.6747e-12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Partner_Attitude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2.3663e-04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Cascade_Attitude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7.3469e-01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Cascade_Practice_Score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3.7520e-02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B_Partner_Practice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Expanded_Knowledge_Score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9.9938e-03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B_Partner_Practice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Partner_Attitude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2.6318e-02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</w:tbl>
    <w:bookmarkEnd w:id="20"/>
    <w:bookmarkStart w:id="21" w:name="X093af2097018c3ce0daeae8c27a07b5f0d438fe"/>
    <w:p>
      <w:pPr>
        <w:pStyle w:val="Heading2"/>
      </w:pPr>
      <w:r>
        <w:t xml:space="preserve">2. Chi-Square Tests (Categorical Scores vs Demographics)</w:t>
      </w:r>
    </w:p>
    <w:p>
      <w:pPr>
        <w:pStyle w:val="FirstParagraph"/>
      </w:pPr>
      <w:r>
        <w:t xml:space="preserve">This section evaluates the independence between demographic categories and binarized categorical outcomes (e.g. High vs Low Knowledge).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 Categorical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Chi-Square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1.7203e-01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1.4930e-01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5.6346e-01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1.6216e-01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4.1782e-09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1.9130e-02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Cat_Partner_Att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5.4375e-01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Cat_Partner_Att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2.5992e-02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Cat_Partner_Att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2.6808e-03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B_Partner_Practice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1.4365e-01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B_Partner_Practice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4.3804e-03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B_Partner_Practice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2.9747e-04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B_Partner_Practice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8.3406e-01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Cat_Cascade_Prac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6.8683e-02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Cat_Cascade_Prac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1.0447e-01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</w:tbl>
    <w:bookmarkEnd w:id="21"/>
    <w:bookmarkStart w:id="22" w:name="Xb47ada9dbbeb68fb51648ad0a49de2d0cea47aa"/>
    <w:p>
      <w:pPr>
        <w:pStyle w:val="Heading2"/>
      </w:pPr>
      <w:r>
        <w:t xml:space="preserve">3. Z-Tests for Proportions (Safe Partner Screening Practices)</w:t>
      </w:r>
    </w:p>
    <w:p>
      <w:pPr>
        <w:pStyle w:val="FirstParagraph"/>
      </w:pPr>
      <w:r>
        <w:t xml:space="preserve">This section uses Z-tests for two proportions to determine if the rate of</w:t>
      </w:r>
      <w:r>
        <w:t xml:space="preserve"> </w:t>
      </w:r>
      <w:r>
        <w:t xml:space="preserve">“</w:t>
      </w:r>
      <w:r>
        <w:t xml:space="preserve">Safe</w:t>
      </w:r>
      <w:r>
        <w:t xml:space="preserve">”</w:t>
      </w:r>
      <w:r>
        <w:t xml:space="preserve"> </w:t>
      </w:r>
      <w:r>
        <w:t xml:space="preserve">partner screening differs between demographic groups.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Demographic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B_Partner_Practice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8.6217e-02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B_Partner_Practice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1.5275e-03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B_Partner_Practice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1.0081e-04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Demographic Associations (Restricted Tests)</dc:title>
  <dc:creator/>
  <cp:keywords/>
  <dcterms:created xsi:type="dcterms:W3CDTF">2026-08-27T07:18:43Z</dcterms:created>
  <dcterms:modified xsi:type="dcterms:W3CDTF">2026-08-27T07:18:43Z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