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Demographic</w:t>
      </w:r>
      <w:r>
        <w:t xml:space="preserve"> </w:t>
      </w:r>
      <w:r>
        <w:t xml:space="preserve">Associations</w:t>
      </w:r>
      <w:r>
        <w:t xml:space="preserve"> </w:t>
      </w:r>
      <w:r>
        <w:t xml:space="preserve">(Raw</w:t>
      </w:r>
      <w:r>
        <w:t xml:space="preserve"> </w:t>
      </w:r>
      <w:r>
        <w:t xml:space="preserve">Scores)</w:t>
      </w:r>
    </w:p>
    <w:bookmarkStart w:id="41" w:name="X1324604a59abc59f4da94f8eeb035aa0f295f2d"/>
    <w:p>
      <w:pPr>
        <w:pStyle w:val="Heading1"/>
      </w:pPr>
      <w:r>
        <w:t xml:space="preserve">Thalassemia Survey - Inferential Analysis: Chi-Square Tests Report</w:t>
      </w:r>
    </w:p>
    <w:p>
      <w:pPr>
        <w:pStyle w:val="FirstParagraph"/>
      </w:pPr>
      <w:r>
        <w:t xml:space="preserve">This report presents the detailed results of Chi-Square (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) tests of independence conducted on the Thalassemia survey dataset. These tests evaluate the relationships between key categorical variables (Education, Family History, Marital Status, Disclosure, and Partner Screening).</w:t>
      </w:r>
    </w:p>
    <w:p>
      <w:r>
        <w:pict>
          <v:rect style="width:0;height:1.5pt" o:hralign="center" o:hrstd="t" o:hr="t"/>
        </w:pict>
      </w:r>
    </w:p>
    <w:bookmarkStart w:id="26" w:name="X0967646dfb887c4442b941b67f32ac12315f5e4"/>
    <w:p>
      <w:pPr>
        <w:pStyle w:val="Heading2"/>
      </w:pPr>
      <w:r>
        <w:t xml:space="preserve">1. Test 1: Education Level vs. Thalassemia Knowledge Level</w:t>
      </w:r>
    </w:p>
    <w:bookmarkStart w:id="20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To determine if a participant’s level of formal education is significantly associated with their thalassemia knowledge.</w:t>
      </w:r>
    </w:p>
    <w:bookmarkEnd w:id="20"/>
    <w:bookmarkStart w:id="21" w:name="variables"/>
    <w:p>
      <w:pPr>
        <w:pStyle w:val="Heading3"/>
      </w:pPr>
      <w:r>
        <w:t xml:space="preserve">Variables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Independent Variable</w:t>
      </w:r>
      <w:r>
        <w:t xml:space="preserve">: Education Level (Graduate, Undergraduate, Up to A/L, Up to O/L)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Dependent Variable</w:t>
      </w:r>
      <w:r>
        <w:t xml:space="preserve">: Knowledge Level (Split at the cohort median score of 10: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 </w:t>
      </w:r>
      <w:r>
        <w:t xml:space="preserve">(</w:t>
      </w:r>
      <m:oMath>
        <m:r>
          <m:rPr>
            <m:sty m:val="p"/>
          </m:rPr>
          <m:t>&gt;</m:t>
        </m:r>
        <m:r>
          <m:t>10</m:t>
        </m:r>
      </m:oMath>
      <w:r>
        <w:t xml:space="preserve">) vs. </w:t>
      </w:r>
      <w:r>
        <w:t xml:space="preserve">“</w:t>
      </w:r>
      <w:r>
        <w:t xml:space="preserve">Low</w:t>
      </w:r>
      <w:r>
        <w:t xml:space="preserve">”</w:t>
      </w:r>
      <w:r>
        <w:t xml:space="preserve"> </w:t>
      </w:r>
      <w:r>
        <w:t xml:space="preserve">(</w:t>
      </w:r>
      <m:oMath>
        <m:r>
          <m:rPr>
            <m:sty m:val="p"/>
          </m:rPr>
          <m:t>≤</m:t>
        </m:r>
        <m:r>
          <m:t>10</m:t>
        </m:r>
      </m:oMath>
      <w:r>
        <w:t xml:space="preserve">))</w:t>
      </w:r>
    </w:p>
    <w:bookmarkEnd w:id="21"/>
    <w:bookmarkStart w:id="22" w:name="hypotheses"/>
    <w:p>
      <w:pPr>
        <w:pStyle w:val="Heading3"/>
      </w:pPr>
      <w:r>
        <w:t xml:space="preserve">Hypotheses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Null Hypothesis (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bCs/>
          <w:b/>
        </w:rPr>
        <w:t xml:space="preserve">)</w:t>
      </w:r>
      <w:r>
        <w:t xml:space="preserve">: Thalassemia knowledge level is independent of educational level.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Alternative Hypothesis (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bCs/>
          <w:b/>
        </w:rPr>
        <w:t xml:space="preserve">)</w:t>
      </w:r>
      <w:r>
        <w:t xml:space="preserve">: Thalassemia knowledge level is significantly associated with educational level.</w:t>
      </w:r>
    </w:p>
    <w:bookmarkEnd w:id="22"/>
    <w:bookmarkStart w:id="23" w:name="contingency-table-cell-proportions"/>
    <w:p>
      <w:pPr>
        <w:pStyle w:val="Heading3"/>
      </w:pPr>
      <w:r>
        <w:t xml:space="preserve">Contingency Table &amp; Cell Proportions</w:t>
      </w:r>
    </w:p>
    <w:p>
      <w:pPr>
        <w:pStyle w:val="FirstParagraph"/>
      </w:pPr>
      <w:r>
        <w:t xml:space="preserve">The table shows the raw counts and column percentages (low vs. high within each education tier):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Education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Knowledge (</w:t>
            </w:r>
            <m:oMath>
              <m:r>
                <m:rPr>
                  <m:sty m:val="p"/>
                </m:rPr>
                <m:t>≤</m:t>
              </m:r>
              <m:r>
                <m:t>10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Knowledge (</w:t>
            </w:r>
            <m:oMath>
              <m:r>
                <m:rPr>
                  <m:sty m:val="p"/>
                </m:rPr>
                <m:t>&gt;</m:t>
              </m:r>
              <m:r>
                <m:t>10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Group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High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Undergraduate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 to A/L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 to O/L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36.18%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 2 participants were excluded due to missing education responses.</w:t>
      </w:r>
    </w:p>
    <w:bookmarkEnd w:id="23"/>
    <w:bookmarkStart w:id="24" w:name="chi-square-test-results"/>
    <w:p>
      <w:pPr>
        <w:pStyle w:val="Heading3"/>
      </w:pPr>
      <w:r>
        <w:t xml:space="preserve">Chi-Square Test Results</w:t>
      </w:r>
    </w:p>
    <w:p>
      <w:pPr>
        <w:numPr>
          <w:ilvl w:val="0"/>
          <w:numId w:val="1003"/>
        </w:numPr>
        <w:pStyle w:val="Compact"/>
      </w:pP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rPr>
          <w:bCs/>
          <w:b/>
        </w:rPr>
        <w:t xml:space="preserve"> </w:t>
      </w:r>
      <w:r>
        <w:rPr>
          <w:bCs/>
          <w:b/>
        </w:rPr>
        <w:t xml:space="preserve">Statistic</w:t>
      </w:r>
      <w:r>
        <w:t xml:space="preserve">:</w:t>
      </w:r>
      <w:r>
        <w:t xml:space="preserve"> </w:t>
      </w:r>
      <w:r>
        <w:rPr>
          <w:rStyle w:val="VerbatimChar"/>
          <w:bCs/>
          <w:b/>
        </w:rPr>
        <w:t xml:space="preserve">39.6138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Degrees of Freedom (df)</w:t>
      </w:r>
      <w:r>
        <w:t xml:space="preserve">:</w:t>
      </w:r>
      <w:r>
        <w:t xml:space="preserve"> </w:t>
      </w:r>
      <w:r>
        <w:rPr>
          <w:rStyle w:val="VerbatimChar"/>
          <w:bCs/>
          <w:b/>
        </w:rPr>
        <w:t xml:space="preserve">3</w:t>
      </w:r>
    </w:p>
    <w:p>
      <w:pPr>
        <w:numPr>
          <w:ilvl w:val="0"/>
          <w:numId w:val="1003"/>
        </w:numPr>
        <w:pStyle w:val="Compact"/>
      </w:pPr>
      <m:oMath>
        <m:r>
          <m:t>p</m:t>
        </m:r>
      </m:oMath>
      <w:r>
        <w:rPr>
          <w:bCs/>
          <w:b/>
        </w:rPr>
        <w:t xml:space="preserve">-value</w:t>
      </w:r>
      <w:r>
        <w:t xml:space="preserve">:</w:t>
      </w:r>
      <w:r>
        <w:t xml:space="preserve"> </w:t>
      </w:r>
      <w:r>
        <w:rPr>
          <w:rStyle w:val="VerbatimChar"/>
          <w:bCs/>
          <w:b/>
        </w:rPr>
        <w:t xml:space="preserve">1.2865e-08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</w:t>
      </w:r>
    </w:p>
    <w:bookmarkEnd w:id="24"/>
    <w:bookmarkStart w:id="25" w:name="interpretation-discussion"/>
    <w:p>
      <w:pPr>
        <w:pStyle w:val="Heading3"/>
      </w:pPr>
      <w:r>
        <w:t xml:space="preserve">Interpretation &amp; Discussion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Statistical Decision</w:t>
      </w:r>
      <w:r>
        <w:t xml:space="preserve">: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level.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Findings</w:t>
      </w:r>
      <w:r>
        <w:t xml:space="preserve">: There is an extremely significant relationship between educational level and thalassemia knowledge.</w:t>
      </w:r>
    </w:p>
    <w:p>
      <w:pPr>
        <w:numPr>
          <w:ilvl w:val="1"/>
          <w:numId w:val="1005"/>
        </w:numPr>
        <w:pStyle w:val="Compact"/>
      </w:pPr>
      <w:r>
        <w:t xml:space="preserve">Over 60% of graduates and undergraduates scored in the High Knowledge category.</w:t>
      </w:r>
    </w:p>
    <w:p>
      <w:pPr>
        <w:numPr>
          <w:ilvl w:val="1"/>
          <w:numId w:val="1005"/>
        </w:numPr>
        <w:pStyle w:val="Compact"/>
      </w:pPr>
      <w:r>
        <w:t xml:space="preserve">In contrast, only 22.9% of those with secondary education (A/L) and 10.8% with high school (O/L) achieved High Knowledge.</w:t>
      </w:r>
    </w:p>
    <w:p>
      <w:pPr>
        <w:numPr>
          <w:ilvl w:val="1"/>
          <w:numId w:val="1005"/>
        </w:numPr>
        <w:pStyle w:val="Compact"/>
      </w:pPr>
      <w:r>
        <w:t xml:space="preserve">This confirms that general formal education heavily correlates with clinical disease awareness.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Xcefa7965b7fb581eae17c3d13dbddb135dd89a7"/>
    <w:p>
      <w:pPr>
        <w:pStyle w:val="Heading2"/>
      </w:pPr>
      <w:r>
        <w:t xml:space="preserve">2. Test 2: Family History vs. Family Status Disclosure</w:t>
      </w:r>
    </w:p>
    <w:bookmarkStart w:id="27" w:name="objective-1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To evaluate whether knowing a relative with an inherited blood disorder influences a carrier’s likelihood of disclosing their carrier status to family members.</w:t>
      </w:r>
    </w:p>
    <w:bookmarkEnd w:id="27"/>
    <w:bookmarkStart w:id="28" w:name="variables-1"/>
    <w:p>
      <w:pPr>
        <w:pStyle w:val="Heading3"/>
      </w:pPr>
      <w:r>
        <w:t xml:space="preserve">Variables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Independent Variable</w:t>
      </w:r>
      <w:r>
        <w:t xml:space="preserve">: Family History of Inherited Blood Disorder (Yes vs. No)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Dependent Variable</w:t>
      </w:r>
      <w:r>
        <w:t xml:space="preserve">: Status Disclosure to Family Members (Yes vs. No)</w:t>
      </w:r>
    </w:p>
    <w:bookmarkEnd w:id="28"/>
    <w:bookmarkStart w:id="29" w:name="hypotheses-1"/>
    <w:p>
      <w:pPr>
        <w:pStyle w:val="Heading3"/>
      </w:pPr>
      <w:r>
        <w:t xml:space="preserve">Hypotheses</w:t>
      </w:r>
    </w:p>
    <w:p>
      <w:pPr>
        <w:numPr>
          <w:ilvl w:val="0"/>
          <w:numId w:val="1007"/>
        </w:numPr>
        <w:pStyle w:val="Compact"/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Status disclosure to family members is independent of having a family history of inherited blood disorders.</w:t>
      </w:r>
    </w:p>
    <w:p>
      <w:pPr>
        <w:numPr>
          <w:ilvl w:val="0"/>
          <w:numId w:val="1007"/>
        </w:numPr>
        <w:pStyle w:val="Compact"/>
      </w:pP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: Status disclosure is significantly associated with having a family history.</w:t>
      </w:r>
    </w:p>
    <w:bookmarkEnd w:id="29"/>
    <w:bookmarkStart w:id="30" w:name="contingency-table-cell-proportions-1"/>
    <w:p>
      <w:pPr>
        <w:pStyle w:val="Heading3"/>
      </w:pPr>
      <w:r>
        <w:t xml:space="preserve">Contingency Table &amp; Cell Proportions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Disclosed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92.54%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94.74%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93.02%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 Excludes participants who responded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don’t know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for family history or had missing values.</w:t>
      </w:r>
    </w:p>
    <w:bookmarkEnd w:id="30"/>
    <w:bookmarkStart w:id="31" w:name="chi-square-test-results-1"/>
    <w:p>
      <w:pPr>
        <w:pStyle w:val="Heading3"/>
      </w:pPr>
      <w:r>
        <w:t xml:space="preserve">Chi-Square Test Results</w:t>
      </w:r>
    </w:p>
    <w:p>
      <w:pPr>
        <w:numPr>
          <w:ilvl w:val="0"/>
          <w:numId w:val="1008"/>
        </w:numPr>
        <w:pStyle w:val="Compact"/>
      </w:pP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rPr>
          <w:bCs/>
          <w:b/>
        </w:rPr>
        <w:t xml:space="preserve"> </w:t>
      </w:r>
      <w:r>
        <w:rPr>
          <w:bCs/>
          <w:b/>
        </w:rPr>
        <w:t xml:space="preserve">Statistic (with Yates Continuity Correction)</w:t>
      </w:r>
      <w:r>
        <w:t xml:space="preserve">:</w:t>
      </w:r>
      <w:r>
        <w:t xml:space="preserve"> </w:t>
      </w:r>
      <w:r>
        <w:rPr>
          <w:rStyle w:val="VerbatimChar"/>
          <w:bCs/>
          <w:b/>
        </w:rPr>
        <w:t xml:space="preserve">0.0119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df</w:t>
      </w:r>
      <w:r>
        <w:t xml:space="preserve">:</w:t>
      </w:r>
      <w:r>
        <w:t xml:space="preserve"> </w:t>
      </w:r>
      <w:r>
        <w:rPr>
          <w:rStyle w:val="VerbatimChar"/>
          <w:bCs/>
          <w:b/>
        </w:rPr>
        <w:t xml:space="preserve">1</w:t>
      </w:r>
    </w:p>
    <w:p>
      <w:pPr>
        <w:numPr>
          <w:ilvl w:val="0"/>
          <w:numId w:val="1008"/>
        </w:numPr>
        <w:pStyle w:val="Compact"/>
      </w:pPr>
      <m:oMath>
        <m:r>
          <m:t>p</m:t>
        </m:r>
      </m:oMath>
      <w:r>
        <w:rPr>
          <w:bCs/>
          <w:b/>
        </w:rPr>
        <w:t xml:space="preserve">-value</w:t>
      </w:r>
      <w:r>
        <w:t xml:space="preserve">:</w:t>
      </w:r>
      <w:r>
        <w:t xml:space="preserve"> </w:t>
      </w:r>
      <w:r>
        <w:rPr>
          <w:rStyle w:val="VerbatimChar"/>
          <w:bCs/>
          <w:b/>
        </w:rPr>
        <w:t xml:space="preserve">0.9132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)</w:t>
      </w:r>
    </w:p>
    <w:bookmarkEnd w:id="31"/>
    <w:bookmarkStart w:id="32" w:name="interpretation-discussion-1"/>
    <w:p>
      <w:pPr>
        <w:pStyle w:val="Heading3"/>
      </w:pPr>
      <w:r>
        <w:t xml:space="preserve">Interpretation &amp; Discussion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Statistical Decision</w:t>
      </w:r>
      <w:r>
        <w:t xml:space="preserve">: Fail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Findings</w:t>
      </w:r>
      <w:r>
        <w:t xml:space="preserve">: Disclosure rates are extremely high (~93%) and do not significantly differ between those with a family history (94.7%) and those without (92.5%). Thalassemia carriers are highly willing to share their diagnosis with family members regardless of background history, suggesting a lack of familial stigma in status sharing.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070872d3c7a0d2daf307c9fc578d7f7c134b20a"/>
    <w:p>
      <w:pPr>
        <w:pStyle w:val="Heading2"/>
      </w:pPr>
      <w:r>
        <w:t xml:space="preserve">3. Test 3: Marital Status vs. Partner Screening Practice</w:t>
      </w:r>
    </w:p>
    <w:bookmarkStart w:id="34" w:name="objective-2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To determine if married carriers are more likely to have screened their partners compared to single carriers who made a screening decision.</w:t>
      </w:r>
    </w:p>
    <w:bookmarkEnd w:id="34"/>
    <w:bookmarkStart w:id="35" w:name="variables-2"/>
    <w:p>
      <w:pPr>
        <w:pStyle w:val="Heading3"/>
      </w:pPr>
      <w:r>
        <w:t xml:space="preserve">Variables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Independent Variable</w:t>
      </w:r>
      <w:r>
        <w:t xml:space="preserve">: Marital Status (Single vs. Married)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Dependent Variable</w:t>
      </w:r>
      <w:r>
        <w:t xml:space="preserve">: Partner Screening Practice (Recoded:</w:t>
      </w:r>
      <w:r>
        <w:t xml:space="preserve"> </w:t>
      </w:r>
      <w:r>
        <w:t xml:space="preserve">“</w:t>
      </w:r>
      <w:r>
        <w:t xml:space="preserve">Screened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Unscreened</w:t>
      </w:r>
      <w:r>
        <w:t xml:space="preserve">”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rPr>
          <w:iCs/>
          <w:i/>
        </w:rPr>
        <w:t xml:space="preserve">Screened</w:t>
      </w:r>
      <w:r>
        <w:t xml:space="preserve">: Partner tested before/after marriage or during pregnancy.</w:t>
      </w:r>
    </w:p>
    <w:p>
      <w:pPr>
        <w:numPr>
          <w:ilvl w:val="1"/>
          <w:numId w:val="1011"/>
        </w:numPr>
        <w:pStyle w:val="Compact"/>
      </w:pPr>
      <w:r>
        <w:rPr>
          <w:iCs/>
          <w:i/>
        </w:rPr>
        <w:t xml:space="preserve">Unscreened</w:t>
      </w:r>
      <w:r>
        <w:t xml:space="preserve">: Did not screen, or did not disclose status to partner.</w:t>
      </w:r>
    </w:p>
    <w:bookmarkEnd w:id="35"/>
    <w:bookmarkStart w:id="36" w:name="hypotheses-2"/>
    <w:p>
      <w:pPr>
        <w:pStyle w:val="Heading3"/>
      </w:pPr>
      <w:r>
        <w:t xml:space="preserve">Hypotheses</w:t>
      </w:r>
    </w:p>
    <w:p>
      <w:pPr>
        <w:numPr>
          <w:ilvl w:val="0"/>
          <w:numId w:val="1012"/>
        </w:numPr>
        <w:pStyle w:val="Compact"/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Partner screening practice is independent of marital status.</w:t>
      </w:r>
    </w:p>
    <w:p>
      <w:pPr>
        <w:numPr>
          <w:ilvl w:val="0"/>
          <w:numId w:val="1012"/>
        </w:numPr>
        <w:pStyle w:val="Compact"/>
      </w:pP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: Partner screening practice is significantly associated with marital status.</w:t>
      </w:r>
    </w:p>
    <w:bookmarkEnd w:id="36"/>
    <w:bookmarkStart w:id="37" w:name="contingency-table-cell-proportions-2"/>
    <w:p>
      <w:pPr>
        <w:pStyle w:val="Heading3"/>
      </w:pPr>
      <w:r>
        <w:t xml:space="preserve">Contingency Table &amp; Cell Proportions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Marital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Unscreened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Screened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66.27%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 Excludes 118 participants (mostly single) who responded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Other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(e.g. </w:t>
      </w:r>
      <w:r>
        <w:rPr>
          <w:iCs/>
          <w:i/>
        </w:rPr>
        <w:t xml:space="preserve">“</w:t>
      </w:r>
      <w:r>
        <w:rPr>
          <w:iCs/>
          <w:i/>
        </w:rPr>
        <w:t xml:space="preserve">Still not married</w:t>
      </w:r>
      <w:r>
        <w:rPr>
          <w:iCs/>
          <w:i/>
        </w:rPr>
        <w:t xml:space="preserve">”</w:t>
      </w:r>
      <w:r>
        <w:rPr>
          <w:iCs/>
          <w:i/>
        </w:rPr>
        <w:t xml:space="preserve">) or did not answer.</w:t>
      </w:r>
    </w:p>
    <w:bookmarkEnd w:id="37"/>
    <w:bookmarkStart w:id="38" w:name="chi-square-test-results-2"/>
    <w:p>
      <w:pPr>
        <w:pStyle w:val="Heading3"/>
      </w:pPr>
      <w:r>
        <w:t xml:space="preserve">Chi-Square Test Results</w:t>
      </w:r>
    </w:p>
    <w:p>
      <w:pPr>
        <w:numPr>
          <w:ilvl w:val="0"/>
          <w:numId w:val="1013"/>
        </w:numPr>
        <w:pStyle w:val="Compact"/>
      </w:pP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rPr>
          <w:bCs/>
          <w:b/>
        </w:rPr>
        <w:t xml:space="preserve"> </w:t>
      </w:r>
      <w:r>
        <w:rPr>
          <w:bCs/>
          <w:b/>
        </w:rPr>
        <w:t xml:space="preserve">Statistic (with Yates Continuity Correction)</w:t>
      </w:r>
      <w:r>
        <w:t xml:space="preserve">:</w:t>
      </w:r>
      <w:r>
        <w:t xml:space="preserve"> </w:t>
      </w:r>
      <w:r>
        <w:rPr>
          <w:rStyle w:val="VerbatimChar"/>
          <w:bCs/>
          <w:b/>
        </w:rPr>
        <w:t xml:space="preserve">0.0036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df</w:t>
      </w:r>
      <w:r>
        <w:t xml:space="preserve">:</w:t>
      </w:r>
      <w:r>
        <w:t xml:space="preserve"> </w:t>
      </w:r>
      <w:r>
        <w:rPr>
          <w:rStyle w:val="VerbatimChar"/>
          <w:bCs/>
          <w:b/>
        </w:rPr>
        <w:t xml:space="preserve">1</w:t>
      </w:r>
    </w:p>
    <w:p>
      <w:pPr>
        <w:numPr>
          <w:ilvl w:val="0"/>
          <w:numId w:val="1013"/>
        </w:numPr>
        <w:pStyle w:val="Compact"/>
      </w:pPr>
      <m:oMath>
        <m:r>
          <m:t>p</m:t>
        </m:r>
      </m:oMath>
      <w:r>
        <w:rPr>
          <w:bCs/>
          <w:b/>
        </w:rPr>
        <w:t xml:space="preserve">-value</w:t>
      </w:r>
      <w:r>
        <w:t xml:space="preserve">:</w:t>
      </w:r>
      <w:r>
        <w:t xml:space="preserve"> </w:t>
      </w:r>
      <w:r>
        <w:rPr>
          <w:rStyle w:val="VerbatimChar"/>
          <w:bCs/>
          <w:b/>
        </w:rPr>
        <w:t xml:space="preserve">0.9519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)</w:t>
      </w:r>
    </w:p>
    <w:bookmarkEnd w:id="38"/>
    <w:bookmarkStart w:id="39" w:name="interpretation-discussion-2"/>
    <w:p>
      <w:pPr>
        <w:pStyle w:val="Heading3"/>
      </w:pPr>
      <w:r>
        <w:t xml:space="preserve">Interpretation &amp; Discussion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Statistical Decision</w:t>
      </w:r>
      <w:r>
        <w:t xml:space="preserve">: Fail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Findings</w:t>
      </w:r>
      <w:r>
        <w:t xml:space="preserve">: For participants who have faced a partner screening decision, marital status does not significantly impact their choice. Screening rates are high (~66%) in both groups.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Key Context</w:t>
      </w:r>
      <w:r>
        <w:t xml:space="preserve">: The majority of single participants (115 out of 131) were excluded because they specified they are not married yet and have not screened a partner. This highlights that once single carriers enter relationships, they screen at a rate comparable to those already married.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61" w:name="X022c2311c889b684d6a17d9e24b3513d8b1d375"/>
    <w:p>
      <w:pPr>
        <w:pStyle w:val="Heading1"/>
      </w:pPr>
      <w:r>
        <w:t xml:space="preserve">Thalassemia Survey — Inferential Analysis: Group Comparison Report</w:t>
      </w:r>
    </w:p>
    <w:p>
      <w:pPr>
        <w:pStyle w:val="FirstParagraph"/>
      </w:pPr>
      <w:r>
        <w:t xml:space="preserve">This report presents the results of parametric group-comparison tests applied to the Thalassemia survey dataset (N = 201). All tests use the</w:t>
      </w:r>
      <w:r>
        <w:t xml:space="preserve"> </w:t>
      </w:r>
      <w:r>
        <w:rPr>
          <w:bCs/>
          <w:b/>
        </w:rPr>
        <w:t xml:space="preserve">Expanded Knowledge Score</w:t>
      </w:r>
      <w:r>
        <w:t xml:space="preserve"> </w:t>
      </w:r>
      <w:r>
        <w:t xml:space="preserve">(0–20 scale) as the continuous dependent variable.</w:t>
      </w:r>
    </w:p>
    <w:p>
      <w:r>
        <w:pict>
          <v:rect style="width:0;height:1.5pt" o:hralign="center" o:hrstd="t" o:hr="t"/>
        </w:pict>
      </w:r>
    </w:p>
    <w:bookmarkStart w:id="49" w:name="Xcb2476cbd75b884839ebea446859fb5a4fa411c"/>
    <w:p>
      <w:pPr>
        <w:pStyle w:val="Heading2"/>
      </w:pPr>
      <w:r>
        <w:t xml:space="preserve">1. Welch’s Independent-Samples</w:t>
      </w:r>
      <w:r>
        <w:t xml:space="preserve"> </w:t>
      </w:r>
      <w:r>
        <w:rPr>
          <w:iCs/>
          <w:i/>
        </w:rPr>
        <w:t xml:space="preserve">t</w:t>
      </w:r>
      <w:r>
        <w:t xml:space="preserve">-Test: Gender vs. Knowledge Score</w:t>
      </w:r>
    </w:p>
    <w:bookmarkStart w:id="42" w:name="objective-3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To determine whether male and female thalassemia carriers differ significantly in their overall knowledge of the disease.</w:t>
      </w:r>
    </w:p>
    <w:bookmarkEnd w:id="42"/>
    <w:bookmarkStart w:id="43" w:name="variables-3"/>
    <w:p>
      <w:pPr>
        <w:pStyle w:val="Heading3"/>
      </w:pPr>
      <w:r>
        <w:t xml:space="preserve">Variables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Independent Variable</w:t>
      </w:r>
      <w:r>
        <w:t xml:space="preserve">: Gender (Female vs. Male)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Dependent Variable</w:t>
      </w:r>
      <w:r>
        <w:t xml:space="preserve">: Expanded Knowledge Score (0–20)</w:t>
      </w:r>
    </w:p>
    <w:bookmarkEnd w:id="43"/>
    <w:bookmarkStart w:id="44" w:name="hypotheses-3"/>
    <w:p>
      <w:pPr>
        <w:pStyle w:val="Heading3"/>
      </w:pPr>
      <w:r>
        <w:t xml:space="preserve">Hypotheses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Null Hypothesis (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bCs/>
          <w:b/>
        </w:rPr>
        <w:t xml:space="preserve">)</w:t>
      </w:r>
      <w:r>
        <w:t xml:space="preserve">: The mean Expanded Knowledge Score is equal for females and males (</w:t>
      </w:r>
      <m:oMath>
        <m:sSub>
          <m:e>
            <m:r>
              <m:t>μ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M</m:t>
            </m:r>
          </m:sub>
        </m:sSub>
      </m:oMath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Alternative Hypothesis (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bCs/>
          <w:b/>
        </w:rPr>
        <w:t xml:space="preserve">)</w:t>
      </w:r>
      <w:r>
        <w:t xml:space="preserve">: The mean Expanded Knowledge Score differs significantly between females and males (</w:t>
      </w:r>
      <m:oMath>
        <m:sSub>
          <m:e>
            <m:r>
              <m:t>μ</m:t>
            </m:r>
          </m:e>
          <m:sub>
            <m:r>
              <m:t>F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M</m:t>
            </m:r>
          </m:sub>
        </m:sSub>
      </m:oMath>
      <w:r>
        <w:t xml:space="preserve">).</w:t>
      </w:r>
    </w:p>
    <w:bookmarkEnd w:id="44"/>
    <w:bookmarkStart w:id="45" w:name="assumptions-check"/>
    <w:p>
      <w:pPr>
        <w:pStyle w:val="Heading3"/>
      </w:pPr>
      <w:r>
        <w:t xml:space="preserve">Assumptions Check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Independence</w:t>
      </w:r>
      <w:r>
        <w:t xml:space="preserve">: Participants were sampled independently.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Normality</w:t>
      </w:r>
      <w:r>
        <w:t xml:space="preserve">: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30</m:t>
        </m:r>
      </m:oMath>
      <w:r>
        <w:t xml:space="preserve"> </w:t>
      </w:r>
      <w:r>
        <w:t xml:space="preserve">in both groups, the Central Limit Theorem supports approximate normality of sampling means.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Homogeneity of Variance</w:t>
      </w:r>
      <w:r>
        <w:t xml:space="preserve">: Welch’s correction is applied (does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assume equal variances), making this a robust choice.</w:t>
      </w:r>
    </w:p>
    <w:bookmarkEnd w:id="45"/>
    <w:bookmarkStart w:id="46" w:name="group-descriptive-statistics"/>
    <w:p>
      <w:pPr>
        <w:pStyle w:val="Heading3"/>
      </w:pPr>
      <w:r>
        <w:t xml:space="preserve">Group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 1 participant excluded due to missing gender response.</w:t>
      </w:r>
    </w:p>
    <w:bookmarkEnd w:id="46"/>
    <w:bookmarkStart w:id="47" w:name="test-results"/>
    <w:p>
      <w:pPr>
        <w:pStyle w:val="Heading3"/>
      </w:pPr>
      <w:r>
        <w:t xml:space="preserve">Test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rPr>
                <w:bCs/>
                <w:b/>
              </w:rPr>
              <w:t xml:space="preserve">-statistic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1.2067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Degrees of Freedom (Welch-Satterthwaite)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195.38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rPr>
                <w:bCs/>
                <w:b/>
              </w:rPr>
              <w:t xml:space="preserve">-value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0.2290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 Difference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0.6624</w:t>
            </w:r>
          </w:p>
        </w:tc>
      </w:tr>
    </w:tbl>
    <w:bookmarkEnd w:id="47"/>
    <w:bookmarkStart w:id="48" w:name="interpretation-discussion-3"/>
    <w:p>
      <w:pPr>
        <w:pStyle w:val="Heading3"/>
      </w:pPr>
      <w:r>
        <w:t xml:space="preserve">Interpretation &amp; Discussion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Statistical Decision</w:t>
      </w:r>
      <w:r>
        <w:t xml:space="preserve">: Fail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Findings</w:t>
      </w:r>
      <w:r>
        <w:t xml:space="preserve">: Female carriers scored slightly higher on average (9.56 vs. 8.89), but this difference is</w:t>
      </w:r>
      <w:r>
        <w:t xml:space="preserve"> </w:t>
      </w:r>
      <w:r>
        <w:rPr>
          <w:bCs/>
          <w:b/>
        </w:rPr>
        <w:t xml:space="preserve">not statistically significant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0.229</m:t>
        </m:r>
      </m:oMath>
      <w:r>
        <w:t xml:space="preserve">). Gender does not appear to be a meaningful predictor of thalassemia knowledge in this cohort.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Clinical Implication</w:t>
      </w:r>
      <w:r>
        <w:t xml:space="preserve">: Health literacy interventions need not be gender-specific; both groups exhibit comparable baseline knowledge with similarly broad variability.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Xe57cbca3a7c24c6e91d04c03ef6471cc2610d25"/>
    <w:p>
      <w:pPr>
        <w:pStyle w:val="Heading2"/>
      </w:pPr>
      <w:r>
        <w:t xml:space="preserve">2. One-Way ANOVA: Education Level vs. Knowledge Score</w:t>
      </w:r>
    </w:p>
    <w:bookmarkStart w:id="50" w:name="objective-4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To determine whether the mean Expanded Knowledge Score differs significantly across levels of formal education.</w:t>
      </w:r>
    </w:p>
    <w:bookmarkEnd w:id="50"/>
    <w:bookmarkStart w:id="51" w:name="variables-4"/>
    <w:p>
      <w:pPr>
        <w:pStyle w:val="Heading3"/>
      </w:pPr>
      <w:r>
        <w:t xml:space="preserve">Variables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Independent Variable</w:t>
      </w:r>
      <w:r>
        <w:t xml:space="preserve">: Education Level (4 groups: Graduate, Undergraduate, Up to A/L, Up to O/L)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Dependent Variable</w:t>
      </w:r>
      <w:r>
        <w:t xml:space="preserve">: Expanded Knowledge Score (0–20)</w:t>
      </w:r>
    </w:p>
    <w:bookmarkEnd w:id="51"/>
    <w:bookmarkStart w:id="52" w:name="hypotheses-4"/>
    <w:p>
      <w:pPr>
        <w:pStyle w:val="Heading3"/>
      </w:pPr>
      <w:r>
        <w:t xml:space="preserve">Hypotheses</w:t>
      </w:r>
    </w:p>
    <w:p>
      <w:pPr>
        <w:numPr>
          <w:ilvl w:val="0"/>
          <w:numId w:val="1020"/>
        </w:numPr>
        <w:pStyle w:val="Compact"/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Grad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UG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A/L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O/L</m:t>
            </m:r>
          </m:sub>
        </m:sSub>
      </m:oMath>
      <w:r>
        <w:t xml:space="preserve"> </w:t>
      </w:r>
      <w:r>
        <w:t xml:space="preserve">(all education groups have the same mean knowledge score)</w:t>
      </w:r>
    </w:p>
    <w:p>
      <w:pPr>
        <w:numPr>
          <w:ilvl w:val="0"/>
          <w:numId w:val="1020"/>
        </w:numPr>
        <w:pStyle w:val="Compact"/>
      </w:pP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: At least one group mean differs from the others.</w:t>
      </w:r>
    </w:p>
    <w:bookmarkEnd w:id="52"/>
    <w:bookmarkStart w:id="53" w:name="group-descriptive-statistics-1"/>
    <w:p>
      <w:pPr>
        <w:pStyle w:val="Heading3"/>
      </w:pPr>
      <w:r>
        <w:t xml:space="preserve">Group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Education Level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Undergraduate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 to A/L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 to O/L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 2 participants excluded due to missing education responses.</w:t>
      </w:r>
    </w:p>
    <w:bookmarkEnd w:id="53"/>
    <w:bookmarkStart w:id="54" w:name="anova-summary-table"/>
    <w:p>
      <w:pPr>
        <w:pStyle w:val="Heading3"/>
      </w:pPr>
      <w:r>
        <w:t xml:space="preserve">ANOVA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Squares (SS)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Square (MS)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  <w:r>
              <w:t xml:space="preserve">-statistic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Education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736.9943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245.6648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20.2612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2364.3524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3101.3467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4"/>
    <w:bookmarkStart w:id="55" w:name="test-results-interpretation"/>
    <w:p>
      <w:pPr>
        <w:pStyle w:val="Heading3"/>
      </w:pPr>
      <w:r>
        <w:t xml:space="preserve">Test Results Interpretation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Statistical Decision</w:t>
      </w:r>
      <w:r>
        <w:t xml:space="preserve">: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Effect Size</w:t>
      </w:r>
      <w:r>
        <w:t xml:space="preserve">:</w:t>
      </w:r>
      <w:r>
        <w:t xml:space="preserve"> </w:t>
      </w:r>
      <m:oMath>
        <m:sSup>
          <m:e>
            <m:r>
              <m:t>η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between</m:t>
                </m:r>
              </m:sub>
            </m:sSub>
          </m:num>
          <m:den>
            <m:r>
              <m:t>S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total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736.99</m:t>
            </m:r>
          </m:num>
          <m:den>
            <m:r>
              <m:t>3101.35</m:t>
            </m:r>
          </m:den>
        </m:f>
        <m:r>
          <m:rPr>
            <m:sty m:val="p"/>
          </m:rPr>
          <m:t>=</m:t>
        </m:r>
        <m:r>
          <m:t>0.2377</m:t>
        </m:r>
      </m:oMath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large effect</w:t>
      </w:r>
      <w:r>
        <w:t xml:space="preserve"> </w:t>
      </w:r>
      <w:r>
        <w:t xml:space="preserve">(&gt; 0.14 threshold). Education level accounts for approximately</w:t>
      </w:r>
      <w:r>
        <w:t xml:space="preserve"> </w:t>
      </w:r>
      <w:r>
        <w:rPr>
          <w:bCs/>
          <w:b/>
        </w:rPr>
        <w:t xml:space="preserve">23.8%</w:t>
      </w:r>
      <w:r>
        <w:t xml:space="preserve"> </w:t>
      </w:r>
      <w:r>
        <w:t xml:space="preserve">of the total variance in knowledge scores.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Key Finding</w:t>
      </w:r>
      <w:r>
        <w:t xml:space="preserve">: Education level is a highly significant predictor of thalassemia knowledge, with tertiary-educated participants scoring nearly 5 points higher on average than those with only secondary-level education.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tukey-hsd-post-hoc-pairwise-comparisons"/>
    <w:p>
      <w:pPr>
        <w:pStyle w:val="Heading2"/>
      </w:pPr>
      <w:r>
        <w:t xml:space="preserve">3. Tukey HSD Post-Hoc Pairwise Comparisons</w:t>
      </w:r>
    </w:p>
    <w:p>
      <w:pPr>
        <w:pStyle w:val="FirstParagraph"/>
      </w:pPr>
      <w:r>
        <w:t xml:space="preserve">Since the ANOVA was significant, Tukey’s Honestly Significant Difference (HSD) test was conducted to identify</w:t>
      </w:r>
      <w:r>
        <w:t xml:space="preserve"> </w:t>
      </w:r>
      <w:r>
        <w:rPr>
          <w:bCs/>
          <w:b/>
        </w:rPr>
        <w:t xml:space="preserve">which specific pairs</w:t>
      </w:r>
      <w:r>
        <w:t xml:space="preserve"> </w:t>
      </w:r>
      <w:r>
        <w:t xml:space="preserve">of education groups differ.</w:t>
      </w:r>
    </w:p>
    <w:bookmarkStart w:id="57" w:name="pairwise-results"/>
    <w:p>
      <w:pPr>
        <w:pStyle w:val="Heading3"/>
      </w:pPr>
      <w:r>
        <w:t xml:space="preserve">Pairwise Results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Statistic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Graduate vs. Undergraduate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Graduate vs. Up to A/L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3.2092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4.14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Graduate vs. Up to O/L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4.3326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1.73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Undergraduate vs. Up to A/L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3.7176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2.86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Undergraduate vs. Up to O/L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4.8410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1.98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 to A/L vs. Up to O/L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</w:tbl>
    <w:bookmarkEnd w:id="57"/>
    <w:bookmarkStart w:id="58" w:name="post-hoc-interpretation"/>
    <w:p>
      <w:pPr>
        <w:pStyle w:val="Heading3"/>
      </w:pPr>
      <w:r>
        <w:t xml:space="preserve">Post-Hoc Interpretation</w:t>
      </w:r>
    </w:p>
    <w:p>
      <w:pPr>
        <w:pStyle w:val="FirstParagraph"/>
      </w:pPr>
      <w:r>
        <w:t xml:space="preserve">The Tukey HSD results reveal a</w:t>
      </w:r>
      <w:r>
        <w:t xml:space="preserve"> </w:t>
      </w:r>
      <w:r>
        <w:rPr>
          <w:bCs/>
          <w:b/>
        </w:rPr>
        <w:t xml:space="preserve">clear two-tier pattern</w:t>
      </w:r>
      <w:r>
        <w:t xml:space="preserve"> </w:t>
      </w:r>
      <w:r>
        <w:t xml:space="preserve">in thalassemia knowledge: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Higher-Knowledge Tier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Graduate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11.31</m:t>
        </m:r>
      </m:oMath>
      <w:r>
        <w:t xml:space="preserve">) and</w:t>
      </w:r>
      <w:r>
        <w:t xml:space="preserve"> </w:t>
      </w:r>
      <w:r>
        <w:rPr>
          <w:bCs/>
          <w:b/>
        </w:rPr>
        <w:t xml:space="preserve">Undergraduate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11.81</m:t>
        </m:r>
      </m:oMath>
      <w:r>
        <w:t xml:space="preserve">) participants show statistically equivalent knowledge (</w:t>
      </w:r>
      <m:oMath>
        <m:r>
          <m:t>p</m:t>
        </m:r>
        <m:r>
          <m:rPr>
            <m:sty m:val="p"/>
          </m:rPr>
          <m:t>=</m:t>
        </m:r>
        <m:r>
          <m:t>0.92</m:t>
        </m:r>
      </m:oMath>
      <w:r>
        <w:t xml:space="preserve">). Both groups score significantly higher than the secondary-education groups.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Lower-Knowledge Tier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Up to A/L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8.10</m:t>
        </m:r>
      </m:oMath>
      <w:r>
        <w:t xml:space="preserve">) and</w:t>
      </w:r>
      <w:r>
        <w:t xml:space="preserve"> </w:t>
      </w:r>
      <w:r>
        <w:rPr>
          <w:bCs/>
          <w:b/>
        </w:rPr>
        <w:t xml:space="preserve">Up to O/L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6.97</m:t>
        </m:r>
      </m:oMath>
      <w:r>
        <w:t xml:space="preserve">) participants also show statistically equivalent knowledge (</w:t>
      </w:r>
      <m:oMath>
        <m:r>
          <m:t>p</m:t>
        </m:r>
        <m:r>
          <m:rPr>
            <m:sty m:val="p"/>
          </m:rPr>
          <m:t>=</m:t>
        </m:r>
        <m:r>
          <m:t>0.36</m:t>
        </m:r>
      </m:oMath>
      <w:r>
        <w:t xml:space="preserve">). Both groups score significantly lower than the tertiary-education groups.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Key Implication</w:t>
      </w:r>
      <w:r>
        <w:t xml:space="preserve">: The critical threshold for thalassemia literacy appears to be the transition from secondary (A/L or O/L) to tertiary (Undergraduate/Graduate) education. This identifies</w:t>
      </w:r>
      <w:r>
        <w:t xml:space="preserve"> </w:t>
      </w:r>
      <w:r>
        <w:rPr>
          <w:bCs/>
          <w:b/>
        </w:rPr>
        <w:t xml:space="preserve">secondary-educated carriers</w:t>
      </w:r>
      <w:r>
        <w:t xml:space="preserve"> </w:t>
      </w:r>
      <w:r>
        <w:t xml:space="preserve">as the priority target population for tailored health education interventions.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Welch’s</w:t>
            </w:r>
            <w:r>
              <w:t xml:space="preserve"> </w:t>
            </w:r>
            <w:r>
              <w:rPr>
                <w:iCs/>
                <w:i/>
              </w:rPr>
              <w:t xml:space="preserve">t</w:t>
            </w:r>
            <w:r>
              <w:t xml:space="preserve">-test (Gender)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1.207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Gender-neutral education is appropriate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One-Way ANOVA (Education)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20.261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1.80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 level explains 23.8% of knowledge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Tukey HSD Post-hoc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vs. secondary is the critical divide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Demographic Associations (Raw Scores)</dc:title>
  <dc:creator/>
  <cp:keywords/>
  <dcterms:created xsi:type="dcterms:W3CDTF">2026-08-27T04:45:46Z</dcterms:created>
  <dcterms:modified xsi:type="dcterms:W3CDTF">2026-08-27T04:45:46Z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