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1: Demographics (Part A)</w:t>
      </w:r>
    </w:p>
    <w:p>
      <w:pPr>
        <w:pStyle w:val="Heading1"/>
      </w:pPr>
      <w:r>
        <w:t>Major Findings</w:t>
      </w:r>
    </w:p>
    <w:p>
      <w:pPr>
        <w:pStyle w:val="ListBullet"/>
      </w:pPr>
      <w:r>
        <w:t>Age range: The majority of participants are young adults, with 73.6% falling between the ages of 18 and 34.</w:t>
      </w:r>
    </w:p>
    <w:p>
      <w:pPr>
        <w:pStyle w:val="ListBullet"/>
      </w:pPr>
      <w:r>
        <w:t>Gender: The sample is majority female, comprising 57.2% of the respondents.</w:t>
      </w:r>
    </w:p>
    <w:p>
      <w:pPr>
        <w:pStyle w:val="ListBullet"/>
      </w:pPr>
      <w:r>
        <w:t>Educational Level: The two major educational variants are those who studied up to A/L (41.3%) and Undergraduates (21.4%).</w:t>
      </w:r>
    </w:p>
    <w:p>
      <w:pPr>
        <w:pStyle w:val="ListBullet"/>
      </w:pPr>
      <w:r>
        <w:t>Marital Status: 65.2% of the participants are single, while 34.8% are married.</w:t>
      </w:r>
    </w:p>
    <w:p>
      <w:pPr>
        <w:pStyle w:val="ListBullet"/>
      </w:pPr>
      <w:r>
        <w:t>Employment: Approximately 60.7% are employed (Private, Government, or Self-Employed), while 37.8% are unemployed.</w:t>
      </w:r>
    </w:p>
    <w:p>
      <w:pPr>
        <w:pStyle w:val="ListBullet"/>
      </w:pPr>
      <w:r>
        <w:t>Religion: The vast majority are Buddhist (87.6%), compared to other religions (12.4%).</w:t>
      </w:r>
    </w:p>
    <w:p>
      <w:pPr>
        <w:pStyle w:val="ListBullet"/>
      </w:pPr>
      <w:r>
        <w:t>Children: Among the married participants (34.8% total), the majority have children (25.4% of total sample), while a smaller portion do not (9.4% of total sample).</w:t>
      </w:r>
    </w:p>
    <w:p>
      <w:pPr>
        <w:pStyle w:val="ListBullet"/>
      </w:pPr>
      <w:r>
        <w:t>Diagnosis Location: Most participants were screened at educational institutions (48.8%) compared to community screenings (22.9%).</w:t>
      </w:r>
    </w:p>
    <w:p>
      <w:pPr>
        <w:pStyle w:val="ListBullet"/>
      </w:pPr>
      <w:r>
        <w:t>Screening Year Inconsistency: Data regarding the year of screening was largely inconsistent or missing (39.8% missing). This limits the ability to effectively evaluate how screening effectiveness impacts Knowledge, Attitudes, and Practices (K,A,P) over time.</w:t>
      </w:r>
    </w:p>
    <w:p>
      <w:pPr>
        <w:pStyle w:val="ListBullet"/>
      </w:pPr>
      <w:r>
        <w:t>Enrollment Challenges: The vast majority of participants were Sinhalese (97.0%). The study faced challenges in enrolling a significant number of participants from Tamil or other ethnic backgrounds, limiting cross-cultural comparisons.</w:t>
      </w:r>
    </w:p>
    <w:p>
      <w:pPr>
        <w:pStyle w:val="Heading2"/>
      </w:pPr>
      <w:r>
        <w:t>Summary</w:t>
      </w:r>
    </w:p>
    <w:p>
      <w:r>
        <w:t>Overall, the demographic profile reveals a predominantly young, female, Sinhalese, and Buddhist cohort with a strong educational background. While the high rate of screening at educational institutions highlights the success of school-based programs, the inconsistency in screening year data restricts longitudinal analysis of screening effectiveness. Furthermore, the lack of ethnic diversity presents a challenge for generalizing these findings across all communities in Sri Lanka.</w:t>
      </w:r>
    </w:p>
    <w:p>
      <w:r>
        <w:br w:type="page"/>
      </w:r>
    </w:p>
    <w:p>
      <w:pPr>
        <w:pStyle w:val="Heading2"/>
      </w:pPr>
      <w:r>
        <w:t>1. Age Distribution</w:t>
      </w:r>
    </w:p>
    <w:p>
      <w:pPr>
        <w:pStyle w:val="IntenseQuote"/>
      </w:pPr>
      <w:r>
        <w:t>Question: What was your age at last birthday?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_Age__What_was_your_age_at_last_birthday___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mean age of the participants is approximately 29.9 years (median = 26). The majority of the respondents fall into the younger adult categories, with 38.3% between the ages of 25-34, and 35.3% between 18-24 years old.</w:t>
      </w:r>
    </w:p>
    <w:p>
      <w:pPr>
        <w:pStyle w:val="Heading2"/>
      </w:pPr>
      <w:r>
        <w:t>2. Gender Distribution</w:t>
      </w:r>
    </w:p>
    <w:p>
      <w:pPr>
        <w:pStyle w:val="IntenseQuote"/>
      </w:pPr>
      <w:r>
        <w:t>Question: Gender: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_Gender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sample is slightly female-dominated, with 57.2% of the participants identifying as female and 42.3% as male.</w:t>
      </w:r>
    </w:p>
    <w:p>
      <w:pPr>
        <w:pStyle w:val="Heading2"/>
      </w:pPr>
      <w:r>
        <w:t>3. Ethnicity</w:t>
      </w:r>
    </w:p>
    <w:p>
      <w:pPr>
        <w:pStyle w:val="IntenseQuote"/>
      </w:pPr>
      <w:r>
        <w:t>Question: Ethnicity: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_Ethnicity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sample is highly homogenous in terms of ethnicity. 97.0% of respondents identified as Sinhalese.</w:t>
      </w:r>
    </w:p>
    <w:p>
      <w:pPr>
        <w:pStyle w:val="Heading2"/>
      </w:pPr>
      <w:r>
        <w:t>4. Religion</w:t>
      </w:r>
    </w:p>
    <w:p>
      <w:pPr>
        <w:pStyle w:val="IntenseQuote"/>
      </w:pPr>
      <w:r>
        <w:t>Question: Religion: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_Reli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majority of the respondents (87.6%) identified as Buddhist, followed by Roman Catholic (6.5%) and Christian (3.0%).</w:t>
      </w:r>
    </w:p>
    <w:p>
      <w:pPr>
        <w:pStyle w:val="Heading2"/>
      </w:pPr>
      <w:r>
        <w:t>5. Occupation</w:t>
      </w:r>
    </w:p>
    <w:p>
      <w:pPr>
        <w:pStyle w:val="IntenseQuote"/>
      </w:pPr>
      <w:r>
        <w:t>Question: Occupation: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5__Occupation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largest group is not employed (37.8%), followed closely by private sector employees (32.8%) and government sector employees (23.9%). Only 4.0% are self-employed.</w:t>
      </w:r>
    </w:p>
    <w:p>
      <w:pPr>
        <w:pStyle w:val="Heading2"/>
      </w:pPr>
      <w:r>
        <w:t>6. Monthly Income</w:t>
      </w:r>
    </w:p>
    <w:p>
      <w:pPr>
        <w:pStyle w:val="IntenseQuote"/>
      </w:pPr>
      <w:r>
        <w:t>Question: Monthly Income (LKR):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_Monthly_Income__LKR_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A large segment (36.8%) did not respond to the income question. Among those who did, the most common bracket is 51,000 – 100,000 LKR (32.8%), followed by 25,000 – 50,000 LKR (20.9%).</w:t>
      </w:r>
    </w:p>
    <w:p>
      <w:pPr>
        <w:pStyle w:val="Heading2"/>
      </w:pPr>
      <w:r>
        <w:t>7. Education Level</w:t>
      </w:r>
    </w:p>
    <w:p>
      <w:pPr>
        <w:pStyle w:val="IntenseQuote"/>
      </w:pPr>
      <w:r>
        <w:t>Question: Education Level: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_Education_Level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Participants have a strong educational background. 41.3% have studied up to A/L, 21.4% are undergraduates, and 17.9% are graduates.</w:t>
      </w:r>
    </w:p>
    <w:p>
      <w:pPr>
        <w:pStyle w:val="Heading2"/>
      </w:pPr>
      <w:r>
        <w:t>8. Residing Province</w:t>
      </w:r>
    </w:p>
    <w:p>
      <w:pPr>
        <w:pStyle w:val="IntenseQuote"/>
      </w:pPr>
      <w:r>
        <w:t>Question: Residing Province: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_Residing_Province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majority of participants (59.7%) reside in the Western Province, with the North Western Province being the second most common (20.4%).</w:t>
      </w:r>
    </w:p>
    <w:p>
      <w:pPr>
        <w:pStyle w:val="Heading2"/>
      </w:pPr>
      <w:r>
        <w:t>9. Marital Status</w:t>
      </w:r>
    </w:p>
    <w:p>
      <w:pPr>
        <w:pStyle w:val="IntenseQuote"/>
      </w:pPr>
      <w:r>
        <w:t>Question: Marital Status: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_Marital_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65.2% of the participants are single, while 34.8% are married.</w:t>
      </w:r>
    </w:p>
    <w:p>
      <w:pPr>
        <w:pStyle w:val="Heading2"/>
      </w:pPr>
      <w:r>
        <w:t>10. Children</w:t>
      </w:r>
    </w:p>
    <w:p>
      <w:pPr>
        <w:pStyle w:val="IntenseQuote"/>
      </w:pPr>
      <w:r>
        <w:t>Question: Do you have children?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_Do_you_have_children_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Corresponding with the marital status, 65.2% reported not having children (or gave no response). 15.4% have more than one child and 10.0% have only one child.</w:t>
      </w:r>
    </w:p>
    <w:p>
      <w:pPr>
        <w:pStyle w:val="Heading2"/>
      </w:pPr>
      <w:r>
        <w:t>11. Family History</w:t>
      </w:r>
    </w:p>
    <w:p>
      <w:pPr>
        <w:pStyle w:val="IntenseQuote"/>
      </w:pPr>
      <w:r>
        <w:t>Question: Do you have a family history of an inherited blood disorder?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_Do_you_have_a_family_history_of_an_inherited_blood_disorder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19.4% of participants reported having a family history of an inherited blood disorder. 10.9% did not know their family history, and 68.2% did not have a family history.</w:t>
      </w:r>
    </w:p>
    <w:p>
      <w:pPr>
        <w:pStyle w:val="Heading2"/>
      </w:pPr>
      <w:r>
        <w:t>12. Specified Blood Disorder</w:t>
      </w:r>
    </w:p>
    <w:p>
      <w:pPr>
        <w:pStyle w:val="IntenseQuote"/>
      </w:pPr>
      <w:r>
        <w:t>Question: If yes, please specify: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_If_yes__please_specif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Among those who had a family history (excluding the 81.6% missing response), Thalassemia was the most frequently specified condition (6.5%), followed by Thalassemia trait (3.5%).</w:t>
      </w:r>
    </w:p>
    <w:p>
      <w:pPr>
        <w:pStyle w:val="Heading2"/>
      </w:pPr>
      <w:r>
        <w:t>13. Diagnosis Year</w:t>
      </w:r>
    </w:p>
    <w:p>
      <w:pPr>
        <w:pStyle w:val="IntenseQuote"/>
      </w:pPr>
      <w:r>
        <w:t>Question: When were you diagnosed as a carrier? (Year):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_When_were_you_diagnosed_as_a_carrier___Year__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most common year of diagnosis among respondents was 2023 (19.9%), followed by 2019 (13.4%). A large portion (39.8%) did not provide a diagnosis year.</w:t>
      </w:r>
    </w:p>
    <w:p>
      <w:pPr>
        <w:pStyle w:val="Heading2"/>
      </w:pPr>
      <w:r>
        <w:t>14. Where Diagnosed</w:t>
      </w:r>
    </w:p>
    <w:p>
      <w:pPr>
        <w:pStyle w:val="IntenseQuote"/>
      </w:pPr>
      <w:r>
        <w:t>Question: Where were you diagnosed as a thalassemia carrier?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_Where_were_you_diagnosed_as_a_thalassemia_carrier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primary location for diagnosis was during school/university screening (48.8%), followed by community screening (22.9%) and at the workplace (19.9%).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