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Score</w:t>
      </w:r>
      <w:r>
        <w:t xml:space="preserve"> </w:t>
      </w:r>
      <w:r>
        <w:t xml:space="preserve">Associations</w:t>
      </w:r>
      <w:r>
        <w:t xml:space="preserve"> </w:t>
      </w:r>
      <w:r>
        <w:t xml:space="preserve">(Regression</w:t>
      </w:r>
      <w:r>
        <w:t xml:space="preserve"> </w:t>
      </w:r>
      <w:r>
        <w:t xml:space="preserve">and</w:t>
      </w:r>
      <w:r>
        <w:t xml:space="preserve"> </w:t>
      </w:r>
      <w:r>
        <w:t xml:space="preserve">Cross-KAP)</w:t>
      </w:r>
    </w:p>
    <w:bookmarkStart w:id="23" w:name="score-associations"/>
    <w:p>
      <w:pPr>
        <w:pStyle w:val="Heading1"/>
      </w:pPr>
      <w:r>
        <w:t xml:space="preserve">Score Associations</w:t>
      </w:r>
    </w:p>
    <w:p>
      <w:pPr>
        <w:pStyle w:val="FirstParagraph"/>
      </w:pPr>
      <w:r>
        <w:t xml:space="preserve">This report evaluates the relationships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the Knowledge, Attitude, and Practice scores, as well as the overarching predictive power of demographics on Knowledge using Multiple Linear Regression. Following strict methodological guidelines,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Regression, Chi-Square, and T-Tests are presented.</w:t>
      </w:r>
    </w:p>
    <w:bookmarkStart w:id="20" w:name="X7b6c9517e029b804573ee4e40f90827dab6cfc7"/>
    <w:p>
      <w:pPr>
        <w:pStyle w:val="Heading2"/>
      </w:pPr>
      <w:r>
        <w:t xml:space="preserve">1. Multiple Linear Regression: Predicting Expanded Knowledge Score</w:t>
      </w:r>
    </w:p>
    <w:p>
      <w:pPr>
        <w:pStyle w:val="FirstParagraph"/>
      </w:pPr>
      <w:r>
        <w:t xml:space="preserve">A multiple linear regression model (OLS) was fitted to predict the continuous</w:t>
      </w:r>
      <w:r>
        <w:t xml:space="preserve"> </w:t>
      </w:r>
      <w:r>
        <w:rPr>
          <w:bCs/>
          <w:b/>
        </w:rPr>
        <w:t xml:space="preserve">Expanded Knowledge Score</w:t>
      </w:r>
      <w:r>
        <w:t xml:space="preserve"> </w:t>
      </w:r>
      <w:r>
        <w:t xml:space="preserve">using core demographic factors.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 / 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(</w:t>
            </w:r>
            <w:r>
              <w:t xml:space="preserve">$eta$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1.0453e-25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C(B_Gender)[T.Male]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4.5887e-01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C(B_Marital)[T.Single]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7.3999e-01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C(B_Education)[T.Up to A/L]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1.3628e-07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C(B_Income)[T.Below/Equal Median]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1.2755e-02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bookmarkEnd w:id="20"/>
    <w:bookmarkStart w:id="21" w:name="X1e103137721b8e6332fdebad9f803d3d25721d2"/>
    <w:p>
      <w:pPr>
        <w:pStyle w:val="Heading2"/>
      </w:pPr>
      <w:r>
        <w:t xml:space="preserve">2. Cross-KAP T-Tests (Practices vs Continuous Scores)</w:t>
      </w:r>
    </w:p>
    <w:p>
      <w:pPr>
        <w:pStyle w:val="FirstParagraph"/>
      </w:pPr>
      <w:r>
        <w:t xml:space="preserve">This analyzes if having a specific practice (e.g., Safe Partner Screening) implies a significantly different continuous Knowledge or Attitude score.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Practice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Score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Expanded_Knowledge_Score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9.9938e-03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2.6318e-02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Cat_Cascade_Prac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Expanded_Knowledge_Score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5.4110e-02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Cat_Cascade_Prac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7.3342e-07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bookmarkEnd w:id="21"/>
    <w:bookmarkStart w:id="22" w:name="cross-kap-chi-square-tests"/>
    <w:p>
      <w:pPr>
        <w:pStyle w:val="Heading2"/>
      </w:pPr>
      <w:r>
        <w:t xml:space="preserve">3. Cross-KAP Chi-Square Tests</w:t>
      </w:r>
    </w:p>
    <w:p>
      <w:pPr>
        <w:pStyle w:val="FirstParagraph"/>
      </w:pPr>
      <w:r>
        <w:t xml:space="preserve">This evaluates the independence between categorized KAP variables (e.g., High Knowledge vs Good Attitude).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KAP Categorical Variable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 Categorical Variable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Chi-Square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Cat_Partner_Att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5.2930e-02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1.9102e-02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Cat_Cascade_Prac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7.6896e-02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Cat_Partner_Att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7.1857e-01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Associations (Regression and Cross-KAP)</dc:title>
  <dc:creator/>
  <cp:keywords/>
  <dcterms:created xsi:type="dcterms:W3CDTF">2026-08-27T07:18:43Z</dcterms:created>
  <dcterms:modified xsi:type="dcterms:W3CDTF">2026-08-27T07:18:43Z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