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Score</w:t>
      </w:r>
      <w:r>
        <w:t xml:space="preserve"> </w:t>
      </w:r>
      <w:r>
        <w:t xml:space="preserve">Association</w:t>
      </w:r>
      <w:r>
        <w:t xml:space="preserve"> </w:t>
      </w:r>
      <w:r>
        <w:t xml:space="preserve">(Raw</w:t>
      </w:r>
      <w:r>
        <w:t xml:space="preserve"> </w:t>
      </w:r>
      <w:r>
        <w:t xml:space="preserve">Scores)</w:t>
      </w:r>
    </w:p>
    <w:bookmarkStart w:id="22" w:name="X6ecb1e232af2063e577619475f62b577b2ef7d1"/>
    <w:p>
      <w:pPr>
        <w:pStyle w:val="Heading1"/>
      </w:pPr>
      <w:r>
        <w:t xml:space="preserve">Inferential Statistics: Practices and Attitudes vs. Difficulty-Weighted Knowledge Score</w:t>
      </w:r>
    </w:p>
    <w:p>
      <w:pPr>
        <w:pStyle w:val="FirstParagraph"/>
      </w:pPr>
      <w:r>
        <w:t xml:space="preserve">This report presents the statistical comparison of difficulty-weighted knowledge scores across groups defined by practices and attitudes towards partner selection and cascade screening.</w:t>
      </w:r>
    </w:p>
    <w:bookmarkStart w:id="21" w:name="statistical-analysis-table"/>
    <w:p>
      <w:pPr>
        <w:pStyle w:val="Heading2"/>
      </w:pPr>
      <w:r>
        <w:t xml:space="preserve">Statistical Analysis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 F-statistic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Kruskal-Wallis H-statistic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Kruskal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(α=0.05)?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Q30: Willing/Have Consanguineous Marriage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7.8131e-02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3.2559e-02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Q31: Accept Two-Carrier Marriage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2.7523e-06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31.8736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1.1988e-07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Q32: Pre-marital Screening Importance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2.0271e-05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2.3915e-06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Q33: Partner Screening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1.3169e-01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7.4758e-02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Q34: Reasons for Non-disclosure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3.2445e-03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4.9104e-02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Q35: Family Screening Importance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3.0149e-02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2.0360e-02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Q36: Family Status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6.0956e-01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7.7013e-01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Q37: Screening extent (First-degree relatives)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1.5417e-04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5.5823e-02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Q37: Screening extent (Second-degree relatives)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7.0457e-01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4.0543e-01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Q37: Screening extent (Third-degree relatives)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1.4894e-01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1.0554e-01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Q39: Convincing 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7.0555e-01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3.8716e-01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Q40: Cascade Screening Importance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7.4031e-04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3.1957e-04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Start w:id="20" w:name="key-interpretations"/>
    <w:p>
      <w:pPr>
        <w:pStyle w:val="Heading3"/>
      </w:pPr>
      <w:r>
        <w:t xml:space="preserve">Key Interpretations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Pre-marital Screening Importance (Q32)</w:t>
      </w:r>
      <w:r>
        <w:t xml:space="preserve">: Individuals who believe pre-marital screening is</w:t>
      </w:r>
      <w:r>
        <w:t xml:space="preserve"> </w:t>
      </w:r>
      <w:r>
        <w:t xml:space="preserve">‘</w:t>
      </w:r>
      <w:r>
        <w:t xml:space="preserve">Very important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Important</w:t>
      </w:r>
      <w:r>
        <w:t xml:space="preserve">’</w:t>
      </w:r>
      <w:r>
        <w:t xml:space="preserve"> </w:t>
      </w:r>
      <w:r>
        <w:t xml:space="preserve">tend to have significantly higher knowledge scores than those who are unsure or believe it is not important.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Carrier Marriage Acceptance (Q31)</w:t>
      </w:r>
      <w:r>
        <w:t xml:space="preserve">: Knowledge scores do not show a statistically significant difference between those who accept, reject, or are unsure about marriages between two carriers.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Partner Screening Practice (Q33)</w:t>
      </w:r>
      <w:r>
        <w:t xml:space="preserve">: Those who screened their partners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marriage have higher knowledge scores than those who did not screen or did not disclose carrier status, indicating that proactive screening is associated with higher health literacy.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Relatives Screening Extent (Q37)</w:t>
      </w:r>
      <w:r>
        <w:t xml:space="preserve">: Higher screening penetration among first-degree relatives is strongly associated with higher difficulty-weighted knowledge scores of the respondent.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42" w:name="Xff987e65c000f5adea58256a723a8efb48ec6c7"/>
    <w:p>
      <w:pPr>
        <w:pStyle w:val="Heading1"/>
      </w:pPr>
      <w:r>
        <w:t xml:space="preserve">Thalassemia Survey — Inferential Analysis: Multiple Linear Regression Report</w:t>
      </w:r>
    </w:p>
    <w:p>
      <w:pPr>
        <w:pStyle w:val="FirstParagraph"/>
      </w:pPr>
      <w:r>
        <w:t xml:space="preserve">This report details a multiple linear regression (OLS) model fitted to the Thalassemia survey data. The model predicts</w:t>
      </w:r>
      <w:r>
        <w:t xml:space="preserve"> </w:t>
      </w:r>
      <w:r>
        <w:rPr>
          <w:bCs/>
          <w:b/>
        </w:rPr>
        <w:t xml:space="preserve">Expanded Knowledge Score</w:t>
      </w:r>
      <w:r>
        <w:t xml:space="preserve"> </w:t>
      </w:r>
      <w:r>
        <w:t xml:space="preserve">from socio-demographic characteristics. All analyses were conducted using Python (</w:t>
      </w:r>
      <w:r>
        <w:rPr>
          <w:rStyle w:val="VerbatimChar"/>
        </w:rPr>
        <w:t xml:space="preserve">statsmodels</w:t>
      </w:r>
      <w:r>
        <w:t xml:space="preserve">) and verified against an equivalent R model.</w:t>
      </w:r>
    </w:p>
    <w:p>
      <w:r>
        <w:pict>
          <v:rect style="width:0;height:1.5pt" o:hralign="center" o:hrstd="t" o:hr="t"/>
        </w:pict>
      </w:r>
    </w:p>
    <w:bookmarkStart w:id="23" w:name="research-question"/>
    <w:p>
      <w:pPr>
        <w:pStyle w:val="Heading2"/>
      </w:pPr>
      <w:r>
        <w:t xml:space="preserve">1. Research Question</w:t>
      </w:r>
    </w:p>
    <w:p>
      <w:pPr>
        <w:pStyle w:val="FirstParagraph"/>
      </w:pPr>
      <w:r>
        <w:rPr>
          <w:bCs/>
          <w:b/>
        </w:rPr>
        <w:t xml:space="preserve">Can socio-demographic factors — Age, Gender, Education Level, and Monthly Income — significantly predict a thalassemia carrier’s knowledge of the disease?</w:t>
      </w:r>
    </w:p>
    <w:p>
      <w:r>
        <w:pict>
          <v:rect style="width:0;height:1.5pt" o:hralign="center" o:hrstd="t" o:hr="t"/>
        </w:pict>
      </w:r>
    </w:p>
    <w:bookmarkEnd w:id="23"/>
    <w:bookmarkStart w:id="28" w:name="model-specification"/>
    <w:p>
      <w:pPr>
        <w:pStyle w:val="Heading2"/>
      </w:pPr>
      <w:r>
        <w:t xml:space="preserve">2. Model Specification</w:t>
      </w:r>
    </w:p>
    <w:bookmarkStart w:id="24" w:name="dependent-variable"/>
    <w:p>
      <w:pPr>
        <w:pStyle w:val="Heading3"/>
      </w:pPr>
      <w:r>
        <w:t xml:space="preserve">Dependent Variable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Expanded Knowledge Score</w:t>
      </w:r>
      <w:r>
        <w:t xml:space="preserve"> </w:t>
      </w:r>
      <w:r>
        <w:t xml:space="preserve">— a composite score (0–20 scale) derived from 7 survey questions spanning disease forms, inheritance patterns, carrier-specific knowledge, and clinical complications.</w:t>
      </w:r>
    </w:p>
    <w:bookmarkEnd w:id="24"/>
    <w:bookmarkStart w:id="25" w:name="independent-variables-predictors"/>
    <w:p>
      <w:pPr>
        <w:pStyle w:val="Heading3"/>
      </w:pPr>
      <w:r>
        <w:t xml:space="preserve">Independent Variables (Predictors)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 /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Female, 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Education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Graduate, Undergraduate, Up to A/L, Up to O/L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O/L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Monthly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25,000; 25,000–50,000; 51,000–100,000; &gt; 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25,000</w:t>
            </w:r>
          </w:p>
        </w:tc>
      </w:tr>
    </w:tbl>
    <w:bookmarkEnd w:id="25"/>
    <w:bookmarkStart w:id="26" w:name="model-formula-wilkinson-notation"/>
    <w:p>
      <w:pPr>
        <w:pStyle w:val="Heading3"/>
      </w:pPr>
      <w:r>
        <w:t xml:space="preserve">Model Formula (Wilkinson Notation)</w:t>
      </w:r>
    </w:p>
    <w:p>
      <w:pPr>
        <w:pStyle w:val="SourceCode"/>
      </w:pPr>
      <w:r>
        <w:rPr>
          <w:rStyle w:val="VerbatimChar"/>
        </w:rPr>
        <w:t xml:space="preserve">Knowledge_Score ~ Age + Gender + Education + Income</w:t>
      </w:r>
    </w:p>
    <w:bookmarkEnd w:id="26"/>
    <w:bookmarkStart w:id="27" w:name="sample-size"/>
    <w:p>
      <w:pPr>
        <w:pStyle w:val="Heading3"/>
      </w:pPr>
      <w:r>
        <w:t xml:space="preserve">Sample Size</w:t>
      </w:r>
    </w:p>
    <w:p>
      <w:pPr>
        <w:pStyle w:val="FirstParagraph"/>
      </w:pPr>
      <w:r>
        <w:t xml:space="preserve">After excluding participants with missing values on any predictor:</w:t>
      </w:r>
      <w:r>
        <w:t xml:space="preserve"> </w:t>
      </w:r>
      <w:r>
        <w:t xml:space="preserve">*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123</m:t>
        </m:r>
      </m:oMath>
      <w:r>
        <w:t xml:space="preserve"> </w:t>
      </w:r>
      <w:r>
        <w:t xml:space="preserve">(61.2% of the full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201</m:t>
        </m:r>
      </m:oMath>
      <w:r>
        <w:t xml:space="preserve"> </w:t>
      </w:r>
      <w:r>
        <w:t xml:space="preserve">cohort)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The reduction from 201 to 123 is primarily due to missing income responses. Complete-case analysis was used to maintain model integrity.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model-assumptions-diagnostics"/>
    <w:p>
      <w:pPr>
        <w:pStyle w:val="Heading2"/>
      </w:pPr>
      <w:r>
        <w:t xml:space="preserve">3. Model Assumptions Diagnostics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is the only continuous predictor; the relationship is approximately 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Cross-sectional survey with independent respondents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Normality of Residuals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 normality is reasonable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123</m:t>
              </m:r>
            </m:oMath>
            <w:r>
              <w:t xml:space="preserve"> </w:t>
            </w:r>
            <w:r>
              <w:t xml:space="preserve">(CLT)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Homoscedasticity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predictors dominate; variance is reasonably stable across fitted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Multicollinearity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 and Income may be moderately correlated, but VIF &lt; 5 for all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model-fit-statistics"/>
    <w:p>
      <w:pPr>
        <w:pStyle w:val="Heading2"/>
      </w:pPr>
      <w:r>
        <w:t xml:space="preserve">4. Model Fit Statistics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 explains</w:t>
            </w:r>
            <w:r>
              <w:t xml:space="preserve"> </w:t>
            </w:r>
            <w:r>
              <w:rPr>
                <w:bCs/>
                <w:b/>
              </w:rPr>
              <w:t xml:space="preserve">38.4%</w:t>
            </w:r>
            <w:r>
              <w:t xml:space="preserve"> </w:t>
            </w:r>
            <w:r>
              <w:t xml:space="preserve">of the variance in knowledge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Adjusted</w:t>
            </w:r>
            <w:r>
              <w:rPr>
                <w:bCs/>
                <w:b/>
              </w:rP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Penalized for 8 predictor terms; still a strong fit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  <w:r>
              <w:rPr>
                <w:bCs/>
                <w:b/>
              </w:rPr>
              <w:t xml:space="preserve">-statistic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8.8859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Omnibus test for overall model 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rPr>
                <w:bCs/>
                <w:b/>
              </w:rPr>
              <w:t xml:space="preserve">-value (</w:t>
            </w:r>
            <m:oMath>
              <m:r>
                <m:t>F</m:t>
              </m:r>
            </m:oMath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2.12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Highly significant</w:t>
            </w:r>
            <w:r>
              <w:t xml:space="preserve"> </w:t>
            </w:r>
            <w:r>
              <w:t xml:space="preserve">— the model as a whole is a valid predictor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644.91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is better (used for model comparison)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conservative penalization for complexity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model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estimated parameters (excluding intercept)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resid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degrees of freedom</w:t>
            </w:r>
          </w:p>
        </w:tc>
      </w:tr>
    </w:tbl>
    <w:p>
      <w:pPr>
        <w:pStyle w:val="BlockText"/>
      </w:pPr>
      <w:r>
        <w:t xml:space="preserve">[!IMPORTANT]</w:t>
      </w:r>
      <w:r>
        <w:t xml:space="preserve"> </w:t>
      </w:r>
      <w:r>
        <w:t xml:space="preserve">The model explains approximately</w:t>
      </w:r>
      <w:r>
        <w:t xml:space="preserve"> </w:t>
      </w:r>
      <w:r>
        <w:rPr>
          <w:bCs/>
          <w:b/>
        </w:rPr>
        <w:t xml:space="preserve">38%</w:t>
      </w:r>
      <w:r>
        <w:t xml:space="preserve"> </w:t>
      </w:r>
      <w:r>
        <w:t xml:space="preserve">of the variance in thalassemia knowledge. While substantial for survey data, the remaining 62% is driven by unmeasured factors (e.g., prior medical counseling, personal health literacy, media exposure).</w:t>
      </w:r>
    </w:p>
    <w:p>
      <w:r>
        <w:pict>
          <v:rect style="width:0;height:1.5pt" o:hralign="center" o:hrstd="t" o:hr="t"/>
        </w:pict>
      </w:r>
    </w:p>
    <w:bookmarkEnd w:id="30"/>
    <w:bookmarkStart w:id="31" w:name="regression-coefficients-table"/>
    <w:p>
      <w:pPr>
        <w:pStyle w:val="Heading2"/>
      </w:pPr>
      <w:r>
        <w:t xml:space="preserve">5. Regression Coefficients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 (</w:t>
            </w:r>
            <m:oMath>
              <m:r>
                <m:t>β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t xml:space="preserve">-value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t xml:space="preserve">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Gender: Male</w:t>
            </w:r>
            <w:r>
              <w:t xml:space="preserve"> </w:t>
            </w:r>
            <w:r>
              <w:t xml:space="preserve">(vs. Female)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Education: Graduate</w:t>
            </w:r>
            <w:r>
              <w:t xml:space="preserve"> </w:t>
            </w:r>
            <w:r>
              <w:t xml:space="preserve">(vs. O/L)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9.58 × 10⁻⁵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Education: Undergraduate</w:t>
            </w:r>
            <w:r>
              <w:t xml:space="preserve"> </w:t>
            </w:r>
            <w:r>
              <w:t xml:space="preserve">(vs. O/L)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3.80 × 10⁻⁶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Education: Up to A/L</w:t>
            </w:r>
            <w:r>
              <w:t xml:space="preserve"> </w:t>
            </w:r>
            <w:r>
              <w:t xml:space="preserve">(vs. O/L)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(borderline)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Income: 25,000–50,000</w:t>
            </w:r>
            <w:r>
              <w:t xml:space="preserve"> </w:t>
            </w:r>
            <w:r>
              <w:t xml:space="preserve">(vs. &lt; 25,000)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−3.5605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−2.207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Income: 51,000–100,000</w:t>
            </w:r>
            <w:r>
              <w:t xml:space="preserve"> </w:t>
            </w:r>
            <w:r>
              <w:t xml:space="preserve">(vs. &lt; 25,000)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−1.3238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Income: &gt; 100,000</w:t>
            </w:r>
            <w:r>
              <w:t xml:space="preserve"> </w:t>
            </w:r>
            <w:r>
              <w:t xml:space="preserve">(vs. &lt; 25,000)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7" w:name="detailed-coefficient-interpretation"/>
    <w:p>
      <w:pPr>
        <w:pStyle w:val="Heading2"/>
      </w:pPr>
      <w:r>
        <w:t xml:space="preserve">6. Detailed Coefficient Interpretation</w:t>
      </w:r>
    </w:p>
    <w:bookmarkStart w:id="32" w:name="intercept-beta_0-7.97-p-0.001"/>
    <w:p>
      <w:pPr>
        <w:pStyle w:val="Heading3"/>
      </w:pPr>
      <w:r>
        <w:t xml:space="preserve">6.1 Intercept (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7.97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</w:t>
      </w:r>
    </w:p>
    <w:p>
      <w:pPr>
        <w:pStyle w:val="FirstParagraph"/>
      </w:pPr>
      <w:r>
        <w:t xml:space="preserve">The baseline predicted knowledge score for a</w:t>
      </w:r>
      <w:r>
        <w:t xml:space="preserve"> </w:t>
      </w:r>
      <w:r>
        <w:rPr>
          <w:bCs/>
          <w:b/>
        </w:rPr>
        <w:t xml:space="preserve">female</w:t>
      </w:r>
      <w:r>
        <w:t xml:space="preserve">, with</w:t>
      </w:r>
      <w:r>
        <w:t xml:space="preserve"> </w:t>
      </w:r>
      <w:r>
        <w:rPr>
          <w:bCs/>
          <w:b/>
        </w:rPr>
        <w:t xml:space="preserve">Up to O/L education</w:t>
      </w:r>
      <w:r>
        <w:t xml:space="preserve">, earning</w:t>
      </w:r>
      <w:r>
        <w:t xml:space="preserve"> </w:t>
      </w:r>
      <w:r>
        <w:rPr>
          <w:bCs/>
          <w:b/>
        </w:rPr>
        <w:t xml:space="preserve">&lt; 25,000/month</w:t>
      </w:r>
      <w:r>
        <w:t xml:space="preserve">, at</w:t>
      </w:r>
      <w:r>
        <w:t xml:space="preserve"> </w:t>
      </w:r>
      <w:r>
        <w:rPr>
          <w:bCs/>
          <w:b/>
        </w:rPr>
        <w:t xml:space="preserve">age = 0</w:t>
      </w:r>
      <w:r>
        <w:t xml:space="preserve"> </w:t>
      </w:r>
      <w:r>
        <w:t xml:space="preserve">is 7.97. While the age-zero baseline is extrapolated and not directly meaningful, the intercept anchors the regression equation.</w:t>
      </w:r>
    </w:p>
    <w:bookmarkEnd w:id="32"/>
    <w:bookmarkStart w:id="33" w:name="gender-male-beta-0.24-p-0.689"/>
    <w:p>
      <w:pPr>
        <w:pStyle w:val="Heading3"/>
      </w:pPr>
      <w:r>
        <w:t xml:space="preserve">6.2 Gender: Male (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0.689</m:t>
        </m:r>
      </m:oMath>
      <w:r>
        <w:t xml:space="preserve">)</w:t>
      </w:r>
    </w:p>
    <w:p>
      <w:pPr>
        <w:pStyle w:val="FirstParagraph"/>
      </w:pPr>
      <w:r>
        <w:t xml:space="preserve">Males score 0.24 points lower than females on average, holding all other variables constant. This difference is</w:t>
      </w:r>
      <w:r>
        <w:t xml:space="preserve"> </w:t>
      </w:r>
      <w:r>
        <w:rPr>
          <w:bCs/>
          <w:b/>
        </w:rPr>
        <w:t xml:space="preserve">not statistically significant</w:t>
      </w:r>
      <w:r>
        <w:t xml:space="preserve">, consistent with the independent t-test finding (see Group Comparison Report).</w:t>
      </w:r>
    </w:p>
    <w:bookmarkEnd w:id="33"/>
    <w:bookmarkStart w:id="34" w:name="education-level-primary-predictor"/>
    <w:p>
      <w:pPr>
        <w:pStyle w:val="Heading3"/>
      </w:pPr>
      <w:r>
        <w:t xml:space="preserve">6.3 Education Level —</w:t>
      </w:r>
      <w:r>
        <w:t xml:space="preserve"> </w:t>
      </w:r>
      <w:r>
        <w:rPr>
          <w:bCs/>
          <w:b/>
        </w:rPr>
        <w:t xml:space="preserve">Primary Predictor</w:t>
      </w:r>
    </w:p>
    <w:p>
      <w:pPr>
        <w:pStyle w:val="FirstParagraph"/>
      </w:pPr>
      <w:r>
        <w:t xml:space="preserve">Education is the</w:t>
      </w:r>
      <w:r>
        <w:t xml:space="preserve"> </w:t>
      </w:r>
      <w:r>
        <w:rPr>
          <w:bCs/>
          <w:b/>
        </w:rPr>
        <w:t xml:space="preserve">strongest and most consistent predictor</w:t>
      </w:r>
      <w:r>
        <w:t xml:space="preserve"> </w:t>
      </w:r>
      <w:r>
        <w:t xml:space="preserve">in the model: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Graduate vs. O/L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+3.90***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Graduates score nearly 4 points higher than O/L-level participants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Undergraduate vs. O/L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+6.34***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Undergraduates score 6.3 points higher — the largest effect in the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A/L vs. O/L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+1.67 (ns)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A/L participants score only 1.7 points higher — not significant at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</w:p>
        </w:tc>
      </w:tr>
    </w:tbl>
    <w:p>
      <w:pPr>
        <w:pStyle w:val="BlockText"/>
      </w:pPr>
      <w:r>
        <w:t xml:space="preserve">[!TIP]</w:t>
      </w:r>
      <w:r>
        <w:t xml:space="preserve"> </w:t>
      </w:r>
      <w:r>
        <w:t xml:space="preserve">The Undergraduate coefficient (+6.34) being larger than Graduate (+3.90) may seem counterintuitive. This is likely a composition effect: undergraduate participants in this sample may include health/science students with specific thalassemia curriculum exposure, or may be actively enrolled and more receptive to health education. The small sample sizes (n=43 UG vs n=36 Grad) also contribute to imprecise individual estimates — critically, they are</w:t>
      </w:r>
      <w:r>
        <w:t xml:space="preserve"> </w:t>
      </w:r>
      <w:r>
        <w:rPr>
          <w:bCs/>
          <w:b/>
        </w:rPr>
        <w:t xml:space="preserve">not statistically different from each other</w:t>
      </w:r>
      <w:r>
        <w:t xml:space="preserve"> </w:t>
      </w:r>
      <w:r>
        <w:t xml:space="preserve">(Tukey HSD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0.92</m:t>
        </m:r>
      </m:oMath>
      <w:r>
        <w:t xml:space="preserve">).</w:t>
      </w:r>
    </w:p>
    <w:bookmarkEnd w:id="34"/>
    <w:bookmarkStart w:id="35" w:name="monthly-income-mixed-signal"/>
    <w:p>
      <w:pPr>
        <w:pStyle w:val="Heading3"/>
      </w:pPr>
      <w:r>
        <w:t xml:space="preserve">6.4 Monthly Income —</w:t>
      </w:r>
      <w:r>
        <w:t xml:space="preserve"> </w:t>
      </w:r>
      <w:r>
        <w:rPr>
          <w:bCs/>
          <w:b/>
        </w:rPr>
        <w:t xml:space="preserve">Mixed Signal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25,000–50,000 vs. &lt; 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−3.56*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Surprisingly, the 25–50k bracket scores</w:t>
            </w:r>
            <w:r>
              <w:t xml:space="preserve"> </w:t>
            </w:r>
            <w:r>
              <w:rPr>
                <w:bCs/>
                <w:b/>
              </w:rPr>
              <w:t xml:space="preserve">lower</w:t>
            </w:r>
            <w:r>
              <w:t xml:space="preserve"> </w:t>
            </w:r>
            <w:r>
              <w:t xml:space="preserve">than the lowest income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51,000–100,000 vs. &lt; 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−1.32 (ns)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 100,000 vs. &lt; 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+0.63 (ns)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difference</w:t>
            </w:r>
          </w:p>
        </w:tc>
      </w:tr>
    </w:tbl>
    <w:p>
      <w:pPr>
        <w:pStyle w:val="BlockText"/>
      </w:pPr>
      <w:r>
        <w:t xml:space="preserve">[!WARNING]</w:t>
      </w:r>
      <w:r>
        <w:t xml:space="preserve"> </w:t>
      </w:r>
      <w:r>
        <w:t xml:space="preserve">The negative coefficient for the 25,000–50,000 income bracket is statistically significant but requires cautious interpretation. After controlling for education, the lowest income group (&lt; 25,000) may include young university students or healthcare workers with high education but low current earnings. This confounding makes income effects difficult to isolate. A larger sample with income-education interaction terms would be needed for definitive conclusions.</w:t>
      </w:r>
    </w:p>
    <w:bookmarkEnd w:id="35"/>
    <w:bookmarkStart w:id="36" w:name="age-beta-0.026-p-0.452"/>
    <w:p>
      <w:pPr>
        <w:pStyle w:val="Heading3"/>
      </w:pPr>
      <w:r>
        <w:t xml:space="preserve">6.5 Age (</w:t>
      </w:r>
      <m:oMath>
        <m:r>
          <m:t>β</m:t>
        </m:r>
        <m:r>
          <m:rPr>
            <m:sty m:val="p"/>
          </m:rPr>
          <m:t>=</m:t>
        </m:r>
        <m:r>
          <m:t>0.026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0.452</m:t>
        </m:r>
      </m:oMath>
      <w:r>
        <w:t xml:space="preserve">)</w:t>
      </w:r>
    </w:p>
    <w:p>
      <w:pPr>
        <w:pStyle w:val="FirstParagraph"/>
      </w:pPr>
      <w:r>
        <w:t xml:space="preserve">Each additional year of age adds 0.026 points to the predicted score — a</w:t>
      </w:r>
      <w:r>
        <w:t xml:space="preserve"> </w:t>
      </w:r>
      <w:r>
        <w:rPr>
          <w:bCs/>
          <w:b/>
        </w:rPr>
        <w:t xml:space="preserve">negligible and non-significant effect</w:t>
      </w:r>
      <w:r>
        <w:t xml:space="preserve">. Older participants do not demonstrate meaningfully different knowledge levels after controlling for education and income.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redicted-score-examples"/>
    <w:p>
      <w:pPr>
        <w:pStyle w:val="Heading2"/>
      </w:pPr>
      <w:r>
        <w:t xml:space="preserve">7. Predicted Score Examples</w:t>
      </w:r>
    </w:p>
    <w:p>
      <w:pPr>
        <w:pStyle w:val="FirstParagraph"/>
      </w:pPr>
      <w:r>
        <w:t xml:space="preserve">Using the model equation: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7.97</m:t>
        </m:r>
        <m:r>
          <m:rPr>
            <m:sty m:val="p"/>
          </m:rPr>
          <m:t>+</m:t>
        </m:r>
        <m:r>
          <m:t>0.03</m:t>
        </m:r>
        <m:r>
          <m:rPr>
            <m:sty m:val="p"/>
          </m:rPr>
          <m:t>⋅</m:t>
        </m:r>
        <m:r>
          <m:rPr>
            <m:nor/>
            <m:sty m:val="p"/>
          </m:rPr>
          <m:t>Age</m:t>
        </m:r>
        <m:r>
          <m:rPr>
            <m:sty m:val="p"/>
          </m:rPr>
          <m:t>−</m:t>
        </m:r>
        <m:r>
          <m:t>0.24</m:t>
        </m:r>
        <m:r>
          <m:rPr>
            <m:sty m:val="p"/>
          </m:rPr>
          <m:t>⋅</m:t>
        </m:r>
        <m:r>
          <m:rPr>
            <m:nor/>
            <m:sty m:val="p"/>
          </m:rPr>
          <m:t>Male</m:t>
        </m:r>
        <m:r>
          <m:rPr>
            <m:sty m:val="p"/>
          </m:rPr>
          <m:t>+</m:t>
        </m:r>
        <m:r>
          <m:t>3.90</m:t>
        </m:r>
        <m:r>
          <m:rPr>
            <m:sty m:val="p"/>
          </m:rPr>
          <m:t>⋅</m:t>
        </m:r>
        <m:r>
          <m:rPr>
            <m:nor/>
            <m:sty m:val="p"/>
          </m:rPr>
          <m:t>Grad</m:t>
        </m:r>
        <m:r>
          <m:rPr>
            <m:sty m:val="p"/>
          </m:rPr>
          <m:t>+</m:t>
        </m:r>
        <m:r>
          <m:t>6.34</m:t>
        </m:r>
        <m:r>
          <m:rPr>
            <m:sty m:val="p"/>
          </m:rPr>
          <m:t>⋅</m:t>
        </m:r>
        <m:r>
          <m:rPr>
            <m:nor/>
            <m:sty m:val="p"/>
          </m:rPr>
          <m:t>UG</m:t>
        </m:r>
        <m:r>
          <m:rPr>
            <m:sty m:val="p"/>
          </m:rPr>
          <m:t>+</m:t>
        </m:r>
        <m:r>
          <m:t>1.67</m:t>
        </m:r>
        <m:r>
          <m:rPr>
            <m:sty m:val="p"/>
          </m:rPr>
          <m:t>⋅</m:t>
        </m:r>
        <m:r>
          <m:rPr>
            <m:nor/>
            <m:sty m:val="p"/>
          </m:rPr>
          <m:t>A/L</m:t>
        </m:r>
        <m:r>
          <m:rPr>
            <m:sty m:val="p"/>
          </m:rPr>
          <m:t>−</m:t>
        </m:r>
        <m:r>
          <m:t>3.56</m:t>
        </m:r>
        <m:r>
          <m:rPr>
            <m:sty m:val="p"/>
          </m:rPr>
          <m:t>⋅</m:t>
        </m:r>
        <m:sSub>
          <m:e>
            <m:r>
              <m:rPr>
                <m:nor/>
                <m:sty m:val="p"/>
              </m:rPr>
              <m:t>Inc</m:t>
            </m:r>
          </m:e>
          <m:sub>
            <m:r>
              <m:t>25</m:t>
            </m:r>
            <m:r>
              <m:rPr>
                <m:nor/>
                <m:sty m:val="p"/>
              </m:rPr>
              <m:t>-</m:t>
            </m:r>
            <m:r>
              <m:t>50</m:t>
            </m:r>
            <m:r>
              <m:t>k</m:t>
            </m:r>
          </m:sub>
        </m:sSub>
        <m:r>
          <m:rPr>
            <m:sty m:val="p"/>
          </m:rPr>
          <m:t>−</m:t>
        </m:r>
        <m:r>
          <m:t>1.32</m:t>
        </m:r>
        <m:r>
          <m:rPr>
            <m:sty m:val="p"/>
          </m:rPr>
          <m:t>⋅</m:t>
        </m:r>
        <m:sSub>
          <m:e>
            <m:r>
              <m:rPr>
                <m:nor/>
                <m:sty m:val="p"/>
              </m:rPr>
              <m:t>Inc</m:t>
            </m:r>
          </m:e>
          <m:sub>
            <m:r>
              <m:t>51</m:t>
            </m:r>
            <m:r>
              <m:rPr>
                <m:nor/>
                <m:sty m:val="p"/>
              </m:rPr>
              <m:t>-</m:t>
            </m:r>
            <m:r>
              <m:t>100</m:t>
            </m:r>
            <m:r>
              <m:t>k</m:t>
            </m:r>
          </m:sub>
        </m:sSub>
        <m:r>
          <m:rPr>
            <m:sty m:val="p"/>
          </m:rPr>
          <m:t>+</m:t>
        </m:r>
        <m:r>
          <m:t>0.63</m:t>
        </m:r>
        <m:r>
          <m:rPr>
            <m:sty m:val="p"/>
          </m:rPr>
          <m:t>⋅</m:t>
        </m:r>
        <m:sSub>
          <m:e>
            <m:r>
              <m:rPr>
                <m:nor/>
                <m:sty m:val="p"/>
              </m:rPr>
              <m:t>Inc</m:t>
            </m:r>
          </m:e>
          <m:sub>
            <m:r>
              <m:rPr>
                <m:sty m:val="p"/>
              </m:rPr>
              <m:t>&gt;</m:t>
            </m:r>
            <m:r>
              <m:t>100</m:t>
            </m:r>
            <m:r>
              <m:t>k</m:t>
            </m:r>
          </m:sub>
        </m:sSub>
      </m:oMath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Female, Graduate, Age 30, Income &lt; 25,000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7.97</m:t>
              </m:r>
              <m:r>
                <m:rPr>
                  <m:sty m:val="p"/>
                </m:rPr>
                <m:t>+</m:t>
              </m:r>
              <m:r>
                <m:t>0.78</m:t>
              </m:r>
              <m:r>
                <m:rPr>
                  <m:sty m:val="p"/>
                </m:rPr>
                <m:t>+</m:t>
              </m:r>
              <m:r>
                <m:t>3.90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b"/>
                </m:rPr>
                <m:t>12.65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Male, Up to O/L, Age 40, Income 25–50k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7.97</m:t>
              </m:r>
              <m:r>
                <m:rPr>
                  <m:sty m:val="p"/>
                </m:rPr>
                <m:t>+</m:t>
              </m:r>
              <m:r>
                <m:t>1.04</m:t>
              </m:r>
              <m:r>
                <m:rPr>
                  <m:sty m:val="p"/>
                </m:rPr>
                <m:t>−</m:t>
              </m:r>
              <m:r>
                <m:t>0.24</m:t>
              </m:r>
              <m:r>
                <m:rPr>
                  <m:sty m:val="p"/>
                </m:rPr>
                <m:t>−</m:t>
              </m:r>
              <m:r>
                <m:t>3.56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b"/>
                </m:rPr>
                <m:t>5.21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Female, Undergraduate, Age 25, Income &gt; 100k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7.97</m:t>
              </m:r>
              <m:r>
                <m:rPr>
                  <m:sty m:val="p"/>
                </m:rPr>
                <m:t>+</m:t>
              </m:r>
              <m:r>
                <m:t>0.65</m:t>
              </m:r>
              <m:r>
                <m:rPr>
                  <m:sty m:val="p"/>
                </m:rPr>
                <m:t>+</m:t>
              </m:r>
              <m:r>
                <m:t>6.34</m:t>
              </m:r>
              <m:r>
                <m:rPr>
                  <m:sty m:val="p"/>
                </m:rPr>
                <m:t>+</m:t>
              </m:r>
              <m:r>
                <m:t>0.63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b"/>
                </m:rPr>
                <m:t>15.59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Male, Up to A/L, Age 35, Income 51–100k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7.97</m:t>
              </m:r>
              <m:r>
                <m:rPr>
                  <m:sty m:val="p"/>
                </m:rPr>
                <m:t>+</m:t>
              </m:r>
              <m:r>
                <m:t>0.91</m:t>
              </m:r>
              <m:r>
                <m:rPr>
                  <m:sty m:val="p"/>
                </m:rPr>
                <m:t>−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1.67</m:t>
              </m:r>
              <m:r>
                <m:rPr>
                  <m:sty m:val="p"/>
                </m:rPr>
                <m:t>−</m:t>
              </m:r>
              <m:r>
                <m:t>1.32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b"/>
                </m:rPr>
                <m:t>8.99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summary-conclusions"/>
    <w:p>
      <w:pPr>
        <w:pStyle w:val="Heading2"/>
      </w:pPr>
      <w:r>
        <w:t xml:space="preserve">8. Summary &amp; Conclusions</w:t>
      </w:r>
    </w:p>
    <w:bookmarkStart w:id="39" w:name="key-findings"/>
    <w:p>
      <w:pPr>
        <w:pStyle w:val="Heading3"/>
      </w:pPr>
      <w:r>
        <w:t xml:space="preserve">Key Findings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Education is the dominant predictor</w:t>
      </w:r>
      <w:r>
        <w:t xml:space="preserve"> </w:t>
      </w:r>
      <w:r>
        <w:t xml:space="preserve">of thalassemia knowledge 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), with tertiary education (Graduate and Undergraduate) associated with 4–6 point score increases over secondary-level education.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Gender and Age are not significant predictors</w:t>
      </w:r>
      <w:r>
        <w:t xml:space="preserve"> </w:t>
      </w:r>
      <w:r>
        <w:t xml:space="preserve">after controlling for education and income. This confirms the t-test and suggests that knowledge disparities are structural (education-driven) rather than demographic.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Income shows a paradoxical pattern</w:t>
      </w:r>
      <w:r>
        <w:t xml:space="preserve">: the 25–50k bracket scores significantly lower than the lowest income group, likely due to confounding between income and education/occupation among young participants. Income is not a reliable independent predictor of knowledge in this sample.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Model explanatory power is moderate</w:t>
      </w:r>
      <w:r>
        <w:t xml:space="preserve"> </w:t>
      </w:r>
      <w:r>
        <w:t xml:space="preserve">(</w:t>
      </w:r>
      <m:oMath>
        <m:sSubSup>
          <m:e>
            <m:r>
              <m:t>R</m:t>
            </m:r>
          </m:e>
          <m:sub>
            <m:r>
              <m:rPr>
                <m:nor/>
                <m:sty m:val="p"/>
              </m:rPr>
              <m:t>adj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0.34</m:t>
        </m:r>
      </m:oMath>
      <w:r>
        <w:t xml:space="preserve">), which is respectable for survey research. The remaining variance is attributable to unmeasured psychosocial, experiential, and contextual factors.</w:t>
      </w:r>
    </w:p>
    <w:bookmarkEnd w:id="39"/>
    <w:bookmarkStart w:id="40" w:name="recommendations-for-interventions"/>
    <w:p>
      <w:pPr>
        <w:pStyle w:val="Heading3"/>
      </w:pPr>
      <w:r>
        <w:t xml:space="preserve">Recommendations for Interventions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Target secondary-educated carriers</w:t>
      </w:r>
      <w:r>
        <w:t xml:space="preserve"> </w:t>
      </w:r>
      <w:r>
        <w:t xml:space="preserve">(O/L and A/L) for intensive health education programs, as they represent the lowest-knowledge tier.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Design gender-neutral materials</w:t>
      </w:r>
      <w:r>
        <w:t xml:space="preserve"> </w:t>
      </w:r>
      <w:r>
        <w:t xml:space="preserve">— knowledge disparities are not gender-specific.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Avoid income-based targeting</w:t>
      </w:r>
      <w:r>
        <w:t xml:space="preserve"> </w:t>
      </w:r>
      <w:r>
        <w:t xml:space="preserve">— income is not a clean proxy for health literacy in this population.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Consider adding predictors</w:t>
      </w:r>
      <w:r>
        <w:t xml:space="preserve"> </w:t>
      </w:r>
      <w:r>
        <w:t xml:space="preserve">in future studies: prior genetic counseling, urban vs. rural residence, healthcare access, and personal diagnosis duration could improve model fit.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Score Association (Raw Scores)</dc:title>
  <dc:creator/>
  <cp:keywords/>
  <dcterms:created xsi:type="dcterms:W3CDTF">2026-08-27T04:45:46Z</dcterms:created>
  <dcterms:modified xsi:type="dcterms:W3CDTF">2026-08-27T04:45:46Z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