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ckTitle"/>
      </w:pPr>
      <w:r>
        <w:t>IA-CNPJ</w:t>
      </w:r>
    </w:p>
    <w:p>
      <w:pPr>
        <w:pStyle w:val="DeckSubtitle"/>
      </w:pPr>
      <w:r>
        <w:t>Inteligência aplicada à leitura financeira e executiva de empresas, com relatórios, interpretação consultiva e PDF profissional.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2948"/>
      </w:tblGrid>
      <w:tr>
        <w:tc>
          <w:tcPr>
            <w:tcW w:type="dxa" w:w="5100"/>
            <w:shd w:fill="F7FAFF"/>
            <w:tcBorders>
              <w:left w:val="single" w:sz="8" w:color="D6DEEB"/>
              <w:right w:val="single" w:sz="8" w:color="D6DEEB"/>
              <w:top w:val="single" w:sz="8" w:color="D6DEEB"/>
              <w:bottom w:val="single" w:sz="8" w:color="D6DEEB"/>
            </w:tcBorders>
          </w:tcPr>
          <w:p>
            <w:r/>
            <w:r>
              <w:rPr>
                <w:b/>
                <w:color w:val="0B2358"/>
              </w:rPr>
              <w:t>Resumo executivo</w:t>
            </w:r>
          </w:p>
          <w:p>
            <w:pPr>
              <w:pStyle w:val="ListBullet"/>
              <w:spacing w:after="20"/>
            </w:pPr>
            <w:r>
              <w:t>Organiza empresas e CNPJs em um painel centralizado.</w:t>
            </w:r>
          </w:p>
          <w:p>
            <w:pPr>
              <w:pStyle w:val="ListBullet"/>
              <w:spacing w:after="20"/>
            </w:pPr>
            <w:r>
              <w:t>Consolida leitura financeira por relatórios objetivos.</w:t>
            </w:r>
          </w:p>
          <w:p>
            <w:pPr>
              <w:pStyle w:val="ListBullet"/>
              <w:spacing w:after="20"/>
            </w:pPr>
            <w:r>
              <w:t>Entrega interpretação consultiva com headline, riscos e ações.</w:t>
            </w:r>
          </w:p>
          <w:p>
            <w:pPr>
              <w:pStyle w:val="ListBullet"/>
              <w:spacing w:after="20"/>
            </w:pPr>
            <w:r>
              <w:t>Gera PDF executivo para apresentação e envio profissional.</w:t>
            </w:r>
          </w:p>
        </w:tc>
        <w:tc>
          <w:tcPr>
            <w:tcW w:type="dxa" w:w="5100"/>
            <w:shd w:fill="0B2358"/>
            <w:tcBorders>
              <w:left w:val="single" w:sz="8" w:color="D6DEEB"/>
              <w:right w:val="single" w:sz="8" w:color="D6DEEB"/>
              <w:top w:val="single" w:sz="8" w:color="D6DEEB"/>
              <w:bottom w:val="single" w:sz="8" w:color="D6DEEB"/>
            </w:tcBorders>
          </w:tcPr>
          <w:p>
            <w:r/>
            <w:r>
              <w:rPr>
                <w:b/>
                <w:color w:val="FFFFFF"/>
                <w:sz w:val="28"/>
              </w:rPr>
              <w:t>Status atual</w:t>
            </w:r>
          </w:p>
          <w:p>
            <w:pPr>
              <w:spacing w:after="20"/>
            </w:pPr>
            <w:r>
              <w:rPr>
                <w:color w:val="FFFFFF"/>
                <w:sz w:val="21"/>
              </w:rPr>
              <w:t>• Produto validado</w:t>
            </w:r>
          </w:p>
          <w:p>
            <w:pPr>
              <w:spacing w:after="20"/>
            </w:pPr>
            <w:r>
              <w:rPr>
                <w:color w:val="FFFFFF"/>
                <w:sz w:val="21"/>
              </w:rPr>
              <w:t>• Painel oficial limpo</w:t>
            </w:r>
          </w:p>
          <w:p>
            <w:pPr>
              <w:spacing w:after="20"/>
            </w:pPr>
            <w:r>
              <w:rPr>
                <w:color w:val="FFFFFF"/>
                <w:sz w:val="21"/>
              </w:rPr>
              <w:t>• Auth e PDF OK</w:t>
            </w:r>
          </w:p>
          <w:p>
            <w:pPr>
              <w:spacing w:after="20"/>
            </w:pPr>
            <w:r>
              <w:rPr>
                <w:color w:val="FFFFFF"/>
                <w:sz w:val="21"/>
              </w:rPr>
              <w:t>• Pronto para demo e venda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220000" cy="4428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b406dc-7b2a-4756-a34a-0f0f5eeaccc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2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uted"/>
        <w:jc w:val="center"/>
      </w:pPr>
      <w:r>
        <w:t>Visão do painel oficial do IA-CNPJ após limpeza da vitrine comercial.</w:t>
      </w:r>
    </w:p>
    <w:p>
      <w:r>
        <w:br w:type="page"/>
      </w:r>
    </w:p>
    <w:p>
      <w:pPr>
        <w:pStyle w:val="Heading1"/>
        <w:spacing w:before="160" w:after="80"/>
      </w:pPr>
      <w:r>
        <w:t>1. O problema do mercado</w:t>
      </w:r>
    </w:p>
    <w:p>
      <w:r>
        <w:t>Muitas empresas têm dados financeiros espalhados, leitura operacional fraca e pouca clareza para tomada de decisão. O resultado costuma ser análise lenta, baixa visibilidade sobre categorias e dificuldade para apresentar o cenário da empresa de forma profissional.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51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Dor recorrente</w:t>
            </w:r>
          </w:p>
        </w:tc>
        <w:tc>
          <w:tcPr>
            <w:tcW w:type="dxa" w:w="51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Impacto no dia a dia</w:t>
            </w:r>
          </w:p>
        </w:tc>
      </w:tr>
      <w:tr>
        <w:tc>
          <w:tcPr>
            <w:tcW w:type="dxa" w:w="436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Entradas e saídas sem leitura consolidada</w:t>
            </w:r>
          </w:p>
        </w:tc>
        <w:tc>
          <w:tcPr>
            <w:tcW w:type="dxa" w:w="436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Decisão atrasada e pouca visão executiva</w:t>
            </w:r>
          </w:p>
        </w:tc>
      </w:tr>
      <w:tr>
        <w:tc>
          <w:tcPr>
            <w:tcW w:type="dxa" w:w="436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Dependência de leitura manual</w:t>
            </w:r>
          </w:p>
        </w:tc>
        <w:tc>
          <w:tcPr>
            <w:tcW w:type="dxa" w:w="436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Perda de tempo e risco de interpretação inconsistente</w:t>
            </w:r>
          </w:p>
        </w:tc>
      </w:tr>
      <w:tr>
        <w:tc>
          <w:tcPr>
            <w:tcW w:type="dxa" w:w="436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Relatórios sem narrativa</w:t>
            </w:r>
          </w:p>
        </w:tc>
        <w:tc>
          <w:tcPr>
            <w:tcW w:type="dxa" w:w="436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Baixa percepção de valor em reuniões e apresentações</w:t>
            </w:r>
          </w:p>
        </w:tc>
      </w:tr>
      <w:tr>
        <w:tc>
          <w:tcPr>
            <w:tcW w:type="dxa" w:w="436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Dificuldade para compartilhar o cenário</w:t>
            </w:r>
          </w:p>
        </w:tc>
        <w:tc>
          <w:tcPr>
            <w:tcW w:type="dxa" w:w="436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Pouca formalização para clientes, gestores e parceiros</w:t>
            </w:r>
          </w:p>
        </w:tc>
      </w:tr>
    </w:tbl>
    <w:p>
      <w:pPr>
        <w:pStyle w:val="Heading1"/>
        <w:spacing w:before="160" w:after="80"/>
      </w:pPr>
      <w:r>
        <w:t>2. O que o IA-CNPJ entrega</w:t>
      </w:r>
    </w:p>
    <w:p>
      <w:r>
        <w:t>O IA-CNPJ organiza empresas, consolida movimentações, gera relatórios financeiros e produz leitura consultiva com saída executiva em PDF. Em vez de olhar números isolados, o usuário passa a enxergar um quadro executivo do negócio.</w:t>
      </w:r>
    </w:p>
    <w:p>
      <w:pPr>
        <w:pStyle w:val="ListBullet"/>
        <w:spacing w:after="20"/>
      </w:pPr>
      <w:r>
        <w:t>Acesso autenticado ao painel</w:t>
      </w:r>
    </w:p>
    <w:p>
      <w:pPr>
        <w:pStyle w:val="ListBullet"/>
        <w:spacing w:after="20"/>
      </w:pPr>
      <w:r>
        <w:t>Gestão de empresas e CNPJs</w:t>
      </w:r>
    </w:p>
    <w:p>
      <w:pPr>
        <w:pStyle w:val="ListBullet"/>
        <w:spacing w:after="20"/>
      </w:pPr>
      <w:r>
        <w:t>Relatórios executivos com leitura objetiva</w:t>
      </w:r>
    </w:p>
    <w:p>
      <w:pPr>
        <w:pStyle w:val="ListBullet"/>
        <w:spacing w:after="20"/>
      </w:pPr>
      <w:r>
        <w:t>IA consultiva com headline, riscos e ações</w:t>
      </w:r>
    </w:p>
    <w:p>
      <w:pPr>
        <w:pStyle w:val="ListBullet"/>
        <w:spacing w:after="20"/>
      </w:pPr>
      <w:r>
        <w:t>Geração de PDF executivo para compartilhamento</w:t>
      </w:r>
    </w:p>
    <w:p>
      <w:pPr>
        <w:pStyle w:val="Heading1"/>
        <w:spacing w:before="160" w:after="80"/>
      </w:pPr>
      <w:r>
        <w:t>3. Experiência de acesso e operação</w:t>
      </w:r>
    </w:p>
    <w:p>
      <w:r>
        <w:t>A vitrine oficial foi fechada para uso comercial: login funcional, painel limpo e zero vazamento de dados de teste.</w:t>
      </w:r>
    </w:p>
    <w:p>
      <w:r>
        <w:drawing>
          <wp:inline xmlns:a="http://schemas.openxmlformats.org/drawingml/2006/main" xmlns:pic="http://schemas.openxmlformats.org/drawingml/2006/picture">
            <wp:extent cx="2340000" cy="1985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ba0739-60c8-4bb8-8f92-0cbd5318f9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8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916000" cy="2474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b406dc-7b2a-4756-a34a-0f0f5eeaccc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47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uted"/>
        <w:jc w:val="center"/>
      </w:pPr>
      <w:r>
        <w:t>Fluxo de entrada e visão do painel oficial.</w:t>
      </w:r>
    </w:p>
    <w:p>
      <w:r>
        <w:br w:type="page"/>
      </w:r>
    </w:p>
    <w:p>
      <w:pPr>
        <w:pStyle w:val="Heading1"/>
        <w:spacing w:before="160" w:after="80"/>
      </w:pPr>
      <w:r>
        <w:t>4. Módulos centrais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025"/>
        <w:gridCol w:w="2891"/>
      </w:tblGrid>
      <w:tr>
        <w:tc>
          <w:tcPr>
            <w:tcW w:type="dxa" w:w="34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Módulo</w:t>
            </w:r>
          </w:p>
        </w:tc>
        <w:tc>
          <w:tcPr>
            <w:tcW w:type="dxa" w:w="34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O que faz</w:t>
            </w:r>
          </w:p>
        </w:tc>
        <w:tc>
          <w:tcPr>
            <w:tcW w:type="dxa" w:w="34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Valor percebido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Empresas</w:t>
            </w:r>
          </w:p>
        </w:tc>
        <w:tc>
          <w:tcPr>
            <w:tcW w:type="dxa" w:w="402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Organiza a base de CNPJs e prepara o ambiente para análises.</w:t>
            </w:r>
          </w:p>
        </w:tc>
        <w:tc>
          <w:tcPr>
            <w:tcW w:type="dxa" w:w="2891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Estrutura e centralização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Dashboard</w:t>
            </w:r>
          </w:p>
        </w:tc>
        <w:tc>
          <w:tcPr>
            <w:tcW w:type="dxa" w:w="402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Exibe visão operacional consolidada do ambiente.</w:t>
            </w:r>
          </w:p>
        </w:tc>
        <w:tc>
          <w:tcPr>
            <w:tcW w:type="dxa" w:w="2891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Leitura rápida do cenário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Relatórios</w:t>
            </w:r>
          </w:p>
        </w:tc>
        <w:tc>
          <w:tcPr>
            <w:tcW w:type="dxa" w:w="402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Mostra entradas, saídas, saldo, categorias e contexto.</w:t>
            </w:r>
          </w:p>
        </w:tc>
        <w:tc>
          <w:tcPr>
            <w:tcW w:type="dxa" w:w="2891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Apoio à decisão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IA Consultiva</w:t>
            </w:r>
          </w:p>
        </w:tc>
        <w:tc>
          <w:tcPr>
            <w:tcW w:type="dxa" w:w="402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Interpreta o período com headline, riscos e ações.</w:t>
            </w:r>
          </w:p>
        </w:tc>
        <w:tc>
          <w:tcPr>
            <w:tcW w:type="dxa" w:w="2891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Mais inteligência e menos leitura manual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PDF Executivo</w:t>
            </w:r>
          </w:p>
        </w:tc>
        <w:tc>
          <w:tcPr>
            <w:tcW w:type="dxa" w:w="4025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Formaliza a análise em documento pronto para envio.</w:t>
            </w:r>
          </w:p>
        </w:tc>
        <w:tc>
          <w:tcPr>
            <w:tcW w:type="dxa" w:w="2891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Entrega premium e compartilhável</w:t>
            </w:r>
          </w:p>
        </w:tc>
      </w:tr>
    </w:tbl>
    <w:p>
      <w:pPr>
        <w:pStyle w:val="Heading1"/>
        <w:spacing w:before="160" w:after="80"/>
      </w:pPr>
      <w:r>
        <w:t>5. Diferenciais do produto</w:t>
      </w:r>
    </w:p>
    <w:p>
      <w:pPr>
        <w:pStyle w:val="ListBullet"/>
        <w:spacing w:after="20"/>
      </w:pPr>
      <w:r>
        <w:t>Produto real, com fluxo validado e pronto para demonstração comercial.</w:t>
      </w:r>
    </w:p>
    <w:p>
      <w:pPr>
        <w:pStyle w:val="ListBullet"/>
        <w:spacing w:after="20"/>
      </w:pPr>
      <w:r>
        <w:t>Combina operação, leitura financeira, interpretação e apresentação em um único fluxo.</w:t>
      </w:r>
    </w:p>
    <w:p>
      <w:pPr>
        <w:pStyle w:val="ListBullet"/>
        <w:spacing w:after="20"/>
      </w:pPr>
      <w:r>
        <w:t>Entrega percepção premium ao sair da tela e virar documento executivo.</w:t>
      </w:r>
    </w:p>
    <w:p>
      <w:pPr>
        <w:pStyle w:val="ListBullet"/>
        <w:spacing w:after="20"/>
      </w:pPr>
      <w:r>
        <w:t>Material comercial, roteiro de demo e deck já estruturados para abordagem de mercado.</w:t>
      </w:r>
    </w:p>
    <w:p>
      <w:pPr>
        <w:pStyle w:val="Heading1"/>
        <w:spacing w:before="160" w:after="80"/>
      </w:pPr>
      <w:r>
        <w:t>6. Para quem o IA-CNPJ faz sentido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9"/>
        <w:gridCol w:w="4422"/>
      </w:tblGrid>
      <w:tr>
        <w:tc>
          <w:tcPr>
            <w:tcW w:type="dxa" w:w="51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Perfil</w:t>
            </w:r>
          </w:p>
        </w:tc>
        <w:tc>
          <w:tcPr>
            <w:tcW w:type="dxa" w:w="51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Ganho principal</w:t>
            </w:r>
          </w:p>
        </w:tc>
      </w:tr>
      <w:tr>
        <w:tc>
          <w:tcPr>
            <w:tcW w:type="dxa" w:w="4309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Empresas que querem visão financeira mais clara</w:t>
            </w:r>
          </w:p>
        </w:tc>
        <w:tc>
          <w:tcPr>
            <w:tcW w:type="dxa" w:w="4422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Leitura consolidada e decisão mais rápida</w:t>
            </w:r>
          </w:p>
        </w:tc>
      </w:tr>
      <w:tr>
        <w:tc>
          <w:tcPr>
            <w:tcW w:type="dxa" w:w="4309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Operações que precisam apresentar cenário com mais profissionalismo</w:t>
            </w:r>
          </w:p>
        </w:tc>
        <w:tc>
          <w:tcPr>
            <w:tcW w:type="dxa" w:w="4422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Relatórios e PDF executivo com melhor percepção de valor</w:t>
            </w:r>
          </w:p>
        </w:tc>
      </w:tr>
      <w:tr>
        <w:tc>
          <w:tcPr>
            <w:tcW w:type="dxa" w:w="4309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Parceiros que buscam uma solução com aparência premium</w:t>
            </w:r>
          </w:p>
        </w:tc>
        <w:tc>
          <w:tcPr>
            <w:tcW w:type="dxa" w:w="4422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Produto demonstrável, limpo e comercialmente apresentável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7. Estrutura sugerida para a demo</w:t>
      </w:r>
    </w:p>
    <w:p>
      <w:r>
        <w:t>A demonstração recomendada é curta, objetiva e gira em torno do fluxo que melhor comunica valor:</w:t>
      </w:r>
    </w:p>
    <w:p>
      <w:pPr>
        <w:spacing w:after="30"/>
      </w:pPr>
      <w:r>
        <w:rPr>
          <w:b/>
        </w:rPr>
        <w:t xml:space="preserve">1. </w:t>
      </w:r>
      <w:r>
        <w:t>Apresentar rapidamente o problema que o mercado vive hoje.</w:t>
      </w:r>
    </w:p>
    <w:p>
      <w:pPr>
        <w:spacing w:after="30"/>
      </w:pPr>
      <w:r>
        <w:rPr>
          <w:b/>
        </w:rPr>
        <w:t xml:space="preserve">2. </w:t>
      </w:r>
      <w:r>
        <w:t>Mostrar o login e a entrada no painel.</w:t>
      </w:r>
    </w:p>
    <w:p>
      <w:pPr>
        <w:spacing w:after="30"/>
      </w:pPr>
      <w:r>
        <w:rPr>
          <w:b/>
        </w:rPr>
        <w:t xml:space="preserve">3. </w:t>
      </w:r>
      <w:r>
        <w:t>Navegar pelo dashboard oficial.</w:t>
      </w:r>
    </w:p>
    <w:p>
      <w:pPr>
        <w:spacing w:after="30"/>
      </w:pPr>
      <w:r>
        <w:rPr>
          <w:b/>
        </w:rPr>
        <w:t xml:space="preserve">4. </w:t>
      </w:r>
      <w:r>
        <w:t>Explicar a gestão de empresas e a base preparada para análise.</w:t>
      </w:r>
    </w:p>
    <w:p>
      <w:pPr>
        <w:spacing w:after="30"/>
      </w:pPr>
      <w:r>
        <w:rPr>
          <w:b/>
        </w:rPr>
        <w:t xml:space="preserve">5. </w:t>
      </w:r>
      <w:r>
        <w:t>Mostrar relatórios e leitura consolidada.</w:t>
      </w:r>
    </w:p>
    <w:p>
      <w:pPr>
        <w:spacing w:after="30"/>
      </w:pPr>
      <w:r>
        <w:rPr>
          <w:b/>
        </w:rPr>
        <w:t xml:space="preserve">6. </w:t>
      </w:r>
      <w:r>
        <w:t>Abrir a IA Consultiva para demonstrar headline, riscos e ações.</w:t>
      </w:r>
    </w:p>
    <w:p>
      <w:pPr>
        <w:spacing w:after="30"/>
      </w:pPr>
      <w:r>
        <w:rPr>
          <w:b/>
        </w:rPr>
        <w:t xml:space="preserve">7. </w:t>
      </w:r>
      <w:r>
        <w:t>Encerrar com a geração do PDF executivo.</w:t>
      </w:r>
    </w:p>
    <w:p>
      <w:pPr>
        <w:pStyle w:val="Heading1"/>
        <w:spacing w:before="160" w:after="80"/>
      </w:pPr>
      <w:r>
        <w:t>8. Pitch comercial</w:t>
      </w:r>
    </w:p>
    <w:p>
      <w:pPr>
        <w:pStyle w:val="AccentQuote"/>
      </w:pPr>
      <w:r>
        <w:t>“O IA-CNPJ transforma movimentação financeira em leitura executiva pronta para operação, análise e apresentação.”</w:t>
      </w:r>
    </w:p>
    <w:p>
      <w:pPr>
        <w:pStyle w:val="Heading1"/>
        <w:spacing w:before="160" w:after="80"/>
      </w:pPr>
      <w:r>
        <w:t>9. Próximo passo comercial</w:t>
      </w:r>
    </w:p>
    <w:p>
      <w:r>
        <w:t>O próximo passo recomendado é uma demonstração prática da plataforma aplicada ao contexto do cliente, seguida de proposta comercial ou piloto.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309"/>
      </w:tblGrid>
      <w:tr>
        <w:tc>
          <w:tcPr>
            <w:tcW w:type="dxa" w:w="51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Etapa</w:t>
            </w:r>
          </w:p>
        </w:tc>
        <w:tc>
          <w:tcPr>
            <w:tcW w:type="dxa" w:w="51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1FB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Objetivo</w:t>
            </w:r>
          </w:p>
        </w:tc>
      </w:tr>
      <w:tr>
        <w:tc>
          <w:tcPr>
            <w:tcW w:type="dxa" w:w="4422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Demo guiada</w:t>
            </w:r>
          </w:p>
        </w:tc>
        <w:tc>
          <w:tcPr>
            <w:tcW w:type="dxa" w:w="4309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Mostrar valor real do fluxo completo</w:t>
            </w:r>
          </w:p>
        </w:tc>
      </w:tr>
      <w:tr>
        <w:tc>
          <w:tcPr>
            <w:tcW w:type="dxa" w:w="4422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Apresentação do PDF executivo</w:t>
            </w:r>
          </w:p>
        </w:tc>
        <w:tc>
          <w:tcPr>
            <w:tcW w:type="dxa" w:w="4309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Reforçar percepção premium e utilidade de negócio</w:t>
            </w:r>
          </w:p>
        </w:tc>
      </w:tr>
      <w:tr>
        <w:tc>
          <w:tcPr>
            <w:tcW w:type="dxa" w:w="4422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Piloto / proposta</w:t>
            </w:r>
          </w:p>
        </w:tc>
        <w:tc>
          <w:tcPr>
            <w:tcW w:type="dxa" w:w="4309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Transformar interesse em movimento comercial concreto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10. Checklist de prontidão</w:t>
      </w:r>
    </w:p>
    <w:p>
      <w:r>
        <w:t>Status consolidado do ciclo de fechamento do IA-CNPJ: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2608"/>
      </w:tblGrid>
      <w:tr>
        <w:tc>
          <w:tcPr>
            <w:tcW w:type="dxa" w:w="51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5F4EA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Frente</w:t>
            </w:r>
          </w:p>
        </w:tc>
        <w:tc>
          <w:tcPr>
            <w:tcW w:type="dxa" w:w="5100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5F4EA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B2358"/>
                <w:sz w:val="20"/>
              </w:rPr>
              <w:t>Status</w:t>
            </w:r>
          </w:p>
        </w:tc>
      </w:tr>
      <w:tr>
        <w:tc>
          <w:tcPr>
            <w:tcW w:type="dxa" w:w="6123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Core técnico / frontend / auth / IA / PDF</w:t>
            </w:r>
          </w:p>
        </w:tc>
        <w:tc>
          <w:tcPr>
            <w:tcW w:type="dxa" w:w="2608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6EC"/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100%</w:t>
            </w:r>
          </w:p>
        </w:tc>
      </w:tr>
      <w:tr>
        <w:tc>
          <w:tcPr>
            <w:tcW w:type="dxa" w:w="6123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Smoke técnico e checks de CI</w:t>
            </w:r>
          </w:p>
        </w:tc>
        <w:tc>
          <w:tcPr>
            <w:tcW w:type="dxa" w:w="2608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6EC"/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100%</w:t>
            </w:r>
          </w:p>
        </w:tc>
      </w:tr>
      <w:tr>
        <w:tc>
          <w:tcPr>
            <w:tcW w:type="dxa" w:w="6123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Painel oficial limpo para demo e venda</w:t>
            </w:r>
          </w:p>
        </w:tc>
        <w:tc>
          <w:tcPr>
            <w:tcW w:type="dxa" w:w="2608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6EC"/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100%</w:t>
            </w:r>
          </w:p>
        </w:tc>
      </w:tr>
      <w:tr>
        <w:tc>
          <w:tcPr>
            <w:tcW w:type="dxa" w:w="6123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Base documental comercial</w:t>
            </w:r>
          </w:p>
        </w:tc>
        <w:tc>
          <w:tcPr>
            <w:tcW w:type="dxa" w:w="2608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6EC"/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100%</w:t>
            </w:r>
          </w:p>
        </w:tc>
      </w:tr>
      <w:tr>
        <w:tc>
          <w:tcPr>
            <w:tcW w:type="dxa" w:w="6123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Deck comercial final (arquivo-mestre)</w:t>
            </w:r>
          </w:p>
        </w:tc>
        <w:tc>
          <w:tcPr>
            <w:tcW w:type="dxa" w:w="2608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6EC"/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100%</w:t>
            </w:r>
          </w:p>
        </w:tc>
      </w:tr>
      <w:tr>
        <w:tc>
          <w:tcPr>
            <w:tcW w:type="dxa" w:w="6123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PDF comercial final renderizado</w:t>
            </w:r>
          </w:p>
        </w:tc>
        <w:tc>
          <w:tcPr>
            <w:tcW w:type="dxa" w:w="2608"/>
            <w:vAlign w:val="center"/>
            <w:tcBorders>
              <w:left w:val="single" w:sz="6" w:color="D6DEEB"/>
              <w:right w:val="single" w:sz="6" w:color="D6DEEB"/>
              <w:top w:val="single" w:sz="6" w:color="D6DEEB"/>
              <w:bottom w:val="single" w:sz="6" w:color="D6DEEB"/>
            </w:tcBorders>
            <w:shd w:fill="EAF6EC"/>
          </w:tcPr>
          <w:p>
            <w:pPr>
              <w:spacing w:before="40" w:after="40"/>
            </w:pPr>
            <w:r>
              <w:rPr>
                <w:rFonts w:ascii="Aptos" w:hAnsi="Aptos"/>
                <w:sz w:val="20"/>
              </w:rPr>
              <w:t>Concluído</w:t>
            </w:r>
          </w:p>
        </w:tc>
      </w:tr>
    </w:tbl>
    <w:p>
      <w:pPr>
        <w:pStyle w:val="AccentQuote"/>
      </w:pPr>
      <w:r>
        <w:t>Fechamento: o IA-CNPJ já pode ser apresentado como solução de mercado, sem reabrir o core técnico deste ciclo.</w:t>
      </w:r>
    </w:p>
    <w:p>
      <w:pPr>
        <w:pStyle w:val="SmallMuted"/>
        <w:jc w:val="right"/>
      </w:pPr>
      <w:r>
        <w:t>Documento comercial final • Baseado no deck oficial consolidado em 20/03/2026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3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948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Title">
    <w:name w:val="DeckTitle"/>
    <w:rPr>
      <w:rFonts w:ascii="Aptos Display" w:hAnsi="Aptos Display"/>
      <w:b/>
      <w:color w:val="0B2358"/>
      <w:sz w:val="56"/>
    </w:rPr>
  </w:style>
  <w:style w:type="paragraph" w:customStyle="1" w:styleId="DeckSubtitle">
    <w:name w:val="DeckSubtitle"/>
    <w:rPr>
      <w:rFonts w:ascii="Aptos" w:hAnsi="Aptos"/>
      <w:color w:val="364565"/>
      <w:sz w:val="25"/>
    </w:rPr>
  </w:style>
  <w:style w:type="paragraph" w:customStyle="1" w:styleId="SmallMuted">
    <w:name w:val="SmallMuted"/>
    <w:rPr>
      <w:rFonts w:ascii="Aptos" w:hAnsi="Aptos"/>
      <w:color w:val="647084"/>
      <w:sz w:val="18"/>
    </w:rPr>
  </w:style>
  <w:style w:type="paragraph" w:customStyle="1" w:styleId="AccentQuote">
    <w:name w:val="AccentQuote"/>
    <w:rPr>
      <w:rFonts w:ascii="Aptos" w:hAnsi="Aptos"/>
      <w:i/>
      <w:color w:val="123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