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BCBF" w14:textId="79EFF7CE" w:rsidR="00956C98" w:rsidRDefault="00000000">
      <w:pPr>
        <w:spacing w:line="240" w:lineRule="auto"/>
        <w:ind w:firstLine="0"/>
        <w:jc w:val="center"/>
        <w:rPr>
          <w:b/>
          <w:lang w:val="pt-BR"/>
        </w:rPr>
      </w:pPr>
      <w:r w:rsidRPr="00956C98">
        <w:rPr>
          <w:b/>
          <w:lang w:val="pt-BR"/>
        </w:rPr>
        <w:t xml:space="preserve">INSTITUTO FEDERAL DE SANTA CATARINA </w:t>
      </w:r>
      <w:r w:rsidR="00956C98">
        <w:rPr>
          <w:b/>
          <w:lang w:val="pt-BR"/>
        </w:rPr>
        <w:t>–</w:t>
      </w:r>
      <w:r w:rsidRPr="00956C98">
        <w:rPr>
          <w:b/>
          <w:lang w:val="pt-BR"/>
        </w:rPr>
        <w:t xml:space="preserve"> IFSC</w:t>
      </w:r>
    </w:p>
    <w:p w14:paraId="08B2A3EB" w14:textId="6F0C4F6B" w:rsid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lang w:val="pt-BR"/>
        </w:rPr>
        <w:t>PROGRAMA DE PÓS-GRADUAÇÃO EM ENGENHARIA ELÉTRICA</w:t>
      </w:r>
    </w:p>
    <w:p w14:paraId="654873E5" w14:textId="1E60F563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lang w:val="pt-BR"/>
        </w:rPr>
        <w:t>MESTRADO PROFISSIONAL EM SISTEMAS DE ENERGIA</w:t>
      </w:r>
    </w:p>
    <w:p w14:paraId="27930E35" w14:textId="77777777" w:rsidR="005151BD" w:rsidRPr="00956C98" w:rsidRDefault="005151BD">
      <w:pPr>
        <w:rPr>
          <w:lang w:val="pt-BR"/>
        </w:rPr>
      </w:pPr>
    </w:p>
    <w:p w14:paraId="4F94BDF3" w14:textId="77777777" w:rsidR="005151BD" w:rsidRPr="00956C98" w:rsidRDefault="005151BD">
      <w:pPr>
        <w:rPr>
          <w:lang w:val="pt-BR"/>
        </w:rPr>
      </w:pPr>
    </w:p>
    <w:p w14:paraId="13D3C24D" w14:textId="77777777" w:rsidR="005151BD" w:rsidRPr="00956C98" w:rsidRDefault="005151BD">
      <w:pPr>
        <w:rPr>
          <w:lang w:val="pt-BR"/>
        </w:rPr>
      </w:pPr>
    </w:p>
    <w:p w14:paraId="021F8B38" w14:textId="32A58BF3" w:rsidR="00956C98" w:rsidRDefault="00000000">
      <w:pPr>
        <w:ind w:firstLine="0"/>
        <w:jc w:val="center"/>
        <w:rPr>
          <w:b/>
          <w:sz w:val="26"/>
          <w:lang w:val="pt-BR"/>
        </w:rPr>
      </w:pPr>
      <w:r w:rsidRPr="00956C98">
        <w:rPr>
          <w:b/>
          <w:sz w:val="26"/>
          <w:lang w:val="pt-BR"/>
        </w:rPr>
        <w:t xml:space="preserve">APLICAÇÃO DE INTELIGÊNCIA ARTIFICIAL E SÉRIES TEMPORAIS PARA APOIO À DECISÃO DE MIGRAÇÃO </w:t>
      </w:r>
      <w:r w:rsidR="00C12433">
        <w:rPr>
          <w:b/>
          <w:sz w:val="26"/>
          <w:lang w:val="pt-BR"/>
        </w:rPr>
        <w:t xml:space="preserve">DE CONSUMIDORES DO GRUPO B3 (COMERCIAL) PARA </w:t>
      </w:r>
      <w:r w:rsidRPr="00956C98">
        <w:rPr>
          <w:b/>
          <w:sz w:val="26"/>
          <w:lang w:val="pt-BR"/>
        </w:rPr>
        <w:t>O MERCADO LIVRE DE ENERGIA</w:t>
      </w:r>
    </w:p>
    <w:p w14:paraId="68FA573D" w14:textId="77777777" w:rsidR="00956C98" w:rsidRPr="00956C98" w:rsidRDefault="00956C98">
      <w:pPr>
        <w:rPr>
          <w:lang w:val="pt-BR"/>
        </w:rPr>
      </w:pPr>
    </w:p>
    <w:p w14:paraId="4FE08328" w14:textId="77777777" w:rsidR="005151BD" w:rsidRPr="00956C98" w:rsidRDefault="005151BD">
      <w:pPr>
        <w:rPr>
          <w:lang w:val="pt-BR"/>
        </w:rPr>
      </w:pPr>
    </w:p>
    <w:p w14:paraId="731484DF" w14:textId="77777777" w:rsidR="005151BD" w:rsidRPr="00956C98" w:rsidRDefault="005151BD">
      <w:pPr>
        <w:rPr>
          <w:lang w:val="pt-BR"/>
        </w:rPr>
      </w:pPr>
    </w:p>
    <w:p w14:paraId="753A5C10" w14:textId="7807AA65" w:rsidR="005151BD" w:rsidRPr="00956C98" w:rsidRDefault="00000000">
      <w:pPr>
        <w:spacing w:line="240" w:lineRule="auto"/>
        <w:ind w:left="4536" w:firstLine="0"/>
        <w:rPr>
          <w:lang w:val="pt-BR"/>
        </w:rPr>
      </w:pPr>
      <w:r w:rsidRPr="00956C98">
        <w:rPr>
          <w:sz w:val="20"/>
          <w:lang w:val="pt-BR"/>
        </w:rPr>
        <w:t>Relatório técnico</w:t>
      </w:r>
      <w:r w:rsidR="00C12433">
        <w:rPr>
          <w:sz w:val="20"/>
          <w:lang w:val="pt-BR"/>
        </w:rPr>
        <w:t xml:space="preserve"> </w:t>
      </w:r>
      <w:r w:rsidRPr="00956C98">
        <w:rPr>
          <w:sz w:val="20"/>
          <w:lang w:val="pt-BR"/>
        </w:rPr>
        <w:t>desenvolvido no âmbito da disciplina de Técnicas de Inteligência Artificial Aplicadas a Sistemas de Energia</w:t>
      </w:r>
      <w:r w:rsidR="00C12433">
        <w:rPr>
          <w:sz w:val="20"/>
          <w:lang w:val="pt-BR"/>
        </w:rPr>
        <w:t xml:space="preserve"> (</w:t>
      </w:r>
      <w:r w:rsidR="00C12433" w:rsidRPr="00C12433">
        <w:rPr>
          <w:sz w:val="20"/>
          <w:lang w:val="pt-BR"/>
        </w:rPr>
        <w:t>IAA68303</w:t>
      </w:r>
      <w:r w:rsidR="00C12433">
        <w:rPr>
          <w:sz w:val="20"/>
          <w:lang w:val="pt-BR"/>
        </w:rPr>
        <w:t>)</w:t>
      </w:r>
      <w:r w:rsidRPr="00956C98">
        <w:rPr>
          <w:sz w:val="20"/>
          <w:lang w:val="pt-BR"/>
        </w:rPr>
        <w:t xml:space="preserve"> do Programa de Mestrado Profissional do Instituto Federal de Santa Catarina (</w:t>
      </w:r>
      <w:r w:rsidR="00956C98">
        <w:rPr>
          <w:sz w:val="20"/>
          <w:lang w:val="pt-BR"/>
        </w:rPr>
        <w:t>MPSEE-</w:t>
      </w:r>
      <w:r w:rsidRPr="00956C98">
        <w:rPr>
          <w:sz w:val="20"/>
          <w:lang w:val="pt-BR"/>
        </w:rPr>
        <w:t>IFSC). O trabalho aborda a experi</w:t>
      </w:r>
      <w:r w:rsidR="00C12433">
        <w:rPr>
          <w:sz w:val="20"/>
          <w:lang w:val="pt-BR"/>
        </w:rPr>
        <w:t xml:space="preserve">mentação </w:t>
      </w:r>
      <w:r w:rsidRPr="00956C98">
        <w:rPr>
          <w:sz w:val="20"/>
          <w:lang w:val="pt-BR"/>
        </w:rPr>
        <w:t>prática de engenharia de dados, modelagem preditiva e discussão de resultados, com suporte de ferramentas de Inteligência Artificial Generativa para auxílio no código e estruturação documental</w:t>
      </w:r>
      <w:r w:rsidR="00956C98">
        <w:rPr>
          <w:sz w:val="20"/>
          <w:lang w:val="pt-BR"/>
        </w:rPr>
        <w:t xml:space="preserve">, aplicadas em um problema de identificação de oportunidades </w:t>
      </w:r>
      <w:r w:rsidR="00C12433">
        <w:rPr>
          <w:sz w:val="20"/>
          <w:lang w:val="pt-BR"/>
        </w:rPr>
        <w:t xml:space="preserve">de migração para o Mercado Livre de Energia, </w:t>
      </w:r>
      <w:r w:rsidR="00956C98">
        <w:rPr>
          <w:sz w:val="20"/>
          <w:lang w:val="pt-BR"/>
        </w:rPr>
        <w:t>para consumidores de energia elétrica alocados no grupo B</w:t>
      </w:r>
      <w:r w:rsidR="00C12433">
        <w:rPr>
          <w:sz w:val="20"/>
          <w:lang w:val="pt-BR"/>
        </w:rPr>
        <w:t>3 (Comercial)</w:t>
      </w:r>
      <w:r w:rsidR="00956C98">
        <w:rPr>
          <w:sz w:val="20"/>
          <w:lang w:val="pt-BR"/>
        </w:rPr>
        <w:t>, dentro da área de concessão de energia da CELESC</w:t>
      </w:r>
      <w:r w:rsidRPr="00956C98">
        <w:rPr>
          <w:sz w:val="20"/>
          <w:lang w:val="pt-BR"/>
        </w:rPr>
        <w:t>.</w:t>
      </w:r>
    </w:p>
    <w:p w14:paraId="5AEAD828" w14:textId="77777777" w:rsidR="005151BD" w:rsidRPr="00956C98" w:rsidRDefault="005151BD">
      <w:pPr>
        <w:rPr>
          <w:lang w:val="pt-BR"/>
        </w:rPr>
      </w:pPr>
    </w:p>
    <w:p w14:paraId="19DAAC6D" w14:textId="77777777" w:rsidR="005151BD" w:rsidRPr="00956C98" w:rsidRDefault="005151BD">
      <w:pPr>
        <w:rPr>
          <w:lang w:val="pt-BR"/>
        </w:rPr>
      </w:pPr>
    </w:p>
    <w:p w14:paraId="6029EB36" w14:textId="58F646FF" w:rsid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lang w:val="pt-BR"/>
        </w:rPr>
        <w:t xml:space="preserve">Florianópolis </w:t>
      </w:r>
      <w:r w:rsidR="00956C98">
        <w:rPr>
          <w:lang w:val="pt-BR"/>
        </w:rPr>
        <w:t>–</w:t>
      </w:r>
      <w:r w:rsidRPr="00956C98">
        <w:rPr>
          <w:lang w:val="pt-BR"/>
        </w:rPr>
        <w:t xml:space="preserve"> SC</w:t>
      </w:r>
    </w:p>
    <w:p w14:paraId="75159867" w14:textId="23BB3696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lang w:val="pt-BR"/>
        </w:rPr>
        <w:t>2026</w:t>
      </w:r>
    </w:p>
    <w:p w14:paraId="58849A35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br w:type="page"/>
      </w:r>
    </w:p>
    <w:p w14:paraId="721CC795" w14:textId="77777777" w:rsidR="005151BD" w:rsidRPr="00956C98" w:rsidRDefault="00000000">
      <w:pPr>
        <w:ind w:firstLine="0"/>
        <w:jc w:val="center"/>
        <w:rPr>
          <w:lang w:val="pt-BR"/>
        </w:rPr>
      </w:pPr>
      <w:r w:rsidRPr="00956C98">
        <w:rPr>
          <w:b/>
          <w:lang w:val="pt-BR"/>
        </w:rPr>
        <w:lastRenderedPageBreak/>
        <w:t>RESUMO</w:t>
      </w:r>
    </w:p>
    <w:p w14:paraId="55218149" w14:textId="3B82FD9D" w:rsidR="005151BD" w:rsidRPr="00956C98" w:rsidRDefault="00000000">
      <w:pPr>
        <w:spacing w:line="240" w:lineRule="auto"/>
        <w:ind w:firstLine="0"/>
        <w:rPr>
          <w:lang w:val="pt-BR"/>
        </w:rPr>
      </w:pPr>
      <w:r w:rsidRPr="00956C98">
        <w:rPr>
          <w:lang w:val="pt-BR"/>
        </w:rPr>
        <w:t>Este relatório apresenta a solução desenvolvida para a avaliação prática da disciplina de Técnicas de IA Aplicadas a Sistemas de Energia no Mestrado Profissional do IFSC. O trabalho cumpre o objetivo de vivenciar o ciclo completo de análise de dados em engenharia</w:t>
      </w:r>
      <w:r w:rsidR="00956C98">
        <w:rPr>
          <w:lang w:val="pt-BR"/>
        </w:rPr>
        <w:t xml:space="preserve">, especificamente na área </w:t>
      </w:r>
      <w:r w:rsidRPr="00956C98">
        <w:rPr>
          <w:lang w:val="pt-BR"/>
        </w:rPr>
        <w:t>de energia</w:t>
      </w:r>
      <w:r w:rsidR="00956C98">
        <w:rPr>
          <w:lang w:val="pt-BR"/>
        </w:rPr>
        <w:t xml:space="preserve"> elétrica, contemplando</w:t>
      </w:r>
      <w:r w:rsidRPr="00956C98">
        <w:rPr>
          <w:lang w:val="pt-BR"/>
        </w:rPr>
        <w:t xml:space="preserve">: formulação do problema real, reunião e limpeza de dados públicos, aplicação de técnicas e bibliotecas preditivas de IA e interpretação crítica dos resultados. O problema abordado é a previsão de carga e o apoio à decisão </w:t>
      </w:r>
      <w:r w:rsidR="00C12433">
        <w:rPr>
          <w:lang w:val="pt-BR"/>
        </w:rPr>
        <w:t>d</w:t>
      </w:r>
      <w:r w:rsidR="00C12433" w:rsidRPr="00956C98">
        <w:rPr>
          <w:lang w:val="pt-BR"/>
        </w:rPr>
        <w:t>o potencial</w:t>
      </w:r>
      <w:r w:rsidR="00956C98">
        <w:rPr>
          <w:lang w:val="pt-BR"/>
        </w:rPr>
        <w:t xml:space="preserve"> </w:t>
      </w:r>
      <w:r w:rsidR="00C12433">
        <w:rPr>
          <w:lang w:val="pt-BR"/>
        </w:rPr>
        <w:t xml:space="preserve">de </w:t>
      </w:r>
      <w:r w:rsidRPr="00956C98">
        <w:rPr>
          <w:lang w:val="pt-BR"/>
        </w:rPr>
        <w:t>migração d</w:t>
      </w:r>
      <w:r w:rsidR="00956C98">
        <w:rPr>
          <w:lang w:val="pt-BR"/>
        </w:rPr>
        <w:t>e</w:t>
      </w:r>
      <w:r w:rsidRPr="00956C98">
        <w:rPr>
          <w:lang w:val="pt-BR"/>
        </w:rPr>
        <w:t xml:space="preserve"> consumidores de baixa tensão (Grupo B</w:t>
      </w:r>
      <w:r w:rsidR="00956C98">
        <w:rPr>
          <w:lang w:val="pt-BR"/>
        </w:rPr>
        <w:t>3</w:t>
      </w:r>
      <w:r w:rsidRPr="00956C98">
        <w:rPr>
          <w:lang w:val="pt-BR"/>
        </w:rPr>
        <w:t xml:space="preserve">) para o Mercado Livre de Energia em Santa Catarina, </w:t>
      </w:r>
      <w:r w:rsidR="00C12433">
        <w:rPr>
          <w:lang w:val="pt-BR"/>
        </w:rPr>
        <w:t>que atualmente estão no mercado cativo, dentro da área de Concessão da CELESC, e</w:t>
      </w:r>
      <w:r w:rsidRPr="00956C98">
        <w:rPr>
          <w:lang w:val="pt-BR"/>
        </w:rPr>
        <w:t>m conformidade com o cronograma estabelecido pela Lei nº 15.269/2025 (novembro/2027 para comercial/industrial B3</w:t>
      </w:r>
      <w:r w:rsidR="00C12433">
        <w:rPr>
          <w:lang w:val="pt-BR"/>
        </w:rPr>
        <w:t>)</w:t>
      </w:r>
      <w:r w:rsidRPr="00956C98">
        <w:rPr>
          <w:lang w:val="pt-BR"/>
        </w:rPr>
        <w:t xml:space="preserve">. Utilizando uma base histórica representativa de 387 meses contínuos (1994 a 2026) da CELESC Distribuição S.A., contendo 2,98 milhões de registros, realizou-se a decomposição estatística via STL e a modelagem preditiva via SARIMAX e </w:t>
      </w:r>
      <w:proofErr w:type="spellStart"/>
      <w:r w:rsidRPr="00956C98">
        <w:rPr>
          <w:lang w:val="pt-BR"/>
        </w:rPr>
        <w:t>Gradient</w:t>
      </w:r>
      <w:proofErr w:type="spellEnd"/>
      <w:r w:rsidRPr="00956C98">
        <w:rPr>
          <w:lang w:val="pt-BR"/>
        </w:rPr>
        <w:t xml:space="preserve"> </w:t>
      </w:r>
      <w:proofErr w:type="spellStart"/>
      <w:r w:rsidRPr="00956C98">
        <w:rPr>
          <w:lang w:val="pt-BR"/>
        </w:rPr>
        <w:t>Boosting</w:t>
      </w:r>
      <w:proofErr w:type="spellEnd"/>
      <w:r w:rsidRPr="00956C98">
        <w:rPr>
          <w:lang w:val="pt-BR"/>
        </w:rPr>
        <w:t>. O modelo SARIMAX (1,1,1)x(1,1,1)12 obteve Erro Percentual Absoluto Médio (MAPE) de 6,03% em validação fora da amostra (27 meses). Na elaboração deste projeto</w:t>
      </w:r>
      <w:r w:rsidR="00C12433">
        <w:rPr>
          <w:lang w:val="pt-BR"/>
        </w:rPr>
        <w:t xml:space="preserve"> foram utilizados </w:t>
      </w:r>
      <w:r w:rsidRPr="00956C98">
        <w:rPr>
          <w:lang w:val="pt-BR"/>
        </w:rPr>
        <w:t xml:space="preserve">assistentes de IA Generativa como ferramenta de suporte computacional para acelerar o desenvolvimento do pipeline em Python e a documentação. Os resultados fornecem uma base </w:t>
      </w:r>
      <w:r w:rsidR="0015600D">
        <w:rPr>
          <w:lang w:val="pt-BR"/>
        </w:rPr>
        <w:t xml:space="preserve">para análise e interpretação de cenários mais </w:t>
      </w:r>
      <w:r w:rsidRPr="00956C98">
        <w:rPr>
          <w:lang w:val="pt-BR"/>
        </w:rPr>
        <w:t>previsíve</w:t>
      </w:r>
      <w:r w:rsidR="0015600D">
        <w:rPr>
          <w:lang w:val="pt-BR"/>
        </w:rPr>
        <w:t xml:space="preserve">is, a fim de </w:t>
      </w:r>
      <w:r w:rsidRPr="00956C98">
        <w:rPr>
          <w:lang w:val="pt-BR"/>
        </w:rPr>
        <w:t xml:space="preserve">subsidiar estratégias </w:t>
      </w:r>
      <w:r w:rsidR="0015600D">
        <w:rPr>
          <w:lang w:val="pt-BR"/>
        </w:rPr>
        <w:t xml:space="preserve">vantajosas na </w:t>
      </w:r>
      <w:r w:rsidRPr="00956C98">
        <w:rPr>
          <w:lang w:val="pt-BR"/>
        </w:rPr>
        <w:t>contratação de energia no setor</w:t>
      </w:r>
      <w:r w:rsidR="0015600D">
        <w:rPr>
          <w:lang w:val="pt-BR"/>
        </w:rPr>
        <w:t>, quando houver abertura deste mercado a este grupo</w:t>
      </w:r>
      <w:r w:rsidRPr="00956C98">
        <w:rPr>
          <w:lang w:val="pt-BR"/>
        </w:rPr>
        <w:t>.</w:t>
      </w:r>
    </w:p>
    <w:p w14:paraId="0169A590" w14:textId="2B483ABE" w:rsidR="005151BD" w:rsidRPr="00956C98" w:rsidRDefault="00000000">
      <w:pPr>
        <w:spacing w:line="240" w:lineRule="auto"/>
        <w:ind w:firstLine="0"/>
        <w:rPr>
          <w:lang w:val="pt-BR"/>
        </w:rPr>
      </w:pPr>
      <w:r w:rsidRPr="00956C98">
        <w:rPr>
          <w:b/>
          <w:lang w:val="pt-BR"/>
        </w:rPr>
        <w:t xml:space="preserve">Palavras-chave: </w:t>
      </w:r>
      <w:r w:rsidRPr="00956C98">
        <w:rPr>
          <w:lang w:val="pt-BR"/>
        </w:rPr>
        <w:t>Sistemas de Energia. Mercado Livre de Energia. Grupo B. Séries Temporais. SARIMAX. Decomposição STL. Inteligência Artificial Generativa. IFSC.</w:t>
      </w:r>
    </w:p>
    <w:p w14:paraId="4D014932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br w:type="page"/>
      </w:r>
    </w:p>
    <w:p w14:paraId="4561F2BC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lastRenderedPageBreak/>
        <w:t>1. FORMULAÇÃO DO PROBLEMA E MOTIVAÇÃO</w:t>
      </w:r>
    </w:p>
    <w:p w14:paraId="59A9E6FE" w14:textId="7D27CE08" w:rsidR="005151BD" w:rsidRPr="00956C98" w:rsidRDefault="0015600D">
      <w:pPr>
        <w:rPr>
          <w:lang w:val="pt-BR"/>
        </w:rPr>
      </w:pPr>
      <w:r>
        <w:rPr>
          <w:lang w:val="pt-BR"/>
        </w:rPr>
        <w:t>A</w:t>
      </w:r>
      <w:r w:rsidR="00000000" w:rsidRPr="00956C98">
        <w:rPr>
          <w:lang w:val="pt-BR"/>
        </w:rPr>
        <w:t xml:space="preserve"> avaliação consiste na resolução prática de um problema real do setor elétrico utilizando ferramentas de inteligência artificial e análise de dados. O foco principal não se restringe à busca por inéditos teóricos ou à complexidade matemática isolada, mas sim ao domínio prático da experiência completa: desde o entendimento do problema físico-econômico, a reunião e estruturação de bases de dados representativas, até a aplicação de bibliotecas de aprendizado e a discussão crítica da solução sob a ótica da engenharia.</w:t>
      </w:r>
    </w:p>
    <w:p w14:paraId="660F902A" w14:textId="33B14F7E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O problema real selecionado é o </w:t>
      </w:r>
      <w:r w:rsidRPr="00956C98">
        <w:rPr>
          <w:b/>
          <w:lang w:val="pt-BR"/>
        </w:rPr>
        <w:t>planejamento da demanda e apoio à decisão para a migração ao Mercado Livre de Energia pelos consumidores de baixa tensão (Grupo B</w:t>
      </w:r>
      <w:r w:rsidR="003D6FFB">
        <w:rPr>
          <w:b/>
          <w:lang w:val="pt-BR"/>
        </w:rPr>
        <w:t>3</w:t>
      </w:r>
      <w:r w:rsidRPr="00956C98">
        <w:rPr>
          <w:b/>
          <w:lang w:val="pt-BR"/>
        </w:rPr>
        <w:t>)</w:t>
      </w:r>
      <w:r w:rsidRPr="00956C98">
        <w:rPr>
          <w:lang w:val="pt-BR"/>
        </w:rPr>
        <w:t xml:space="preserve"> no Estado de Santa Catarina. O marco regulatório foi consolidado pela </w:t>
      </w:r>
      <w:r w:rsidRPr="00956C98">
        <w:rPr>
          <w:b/>
          <w:lang w:val="pt-BR"/>
        </w:rPr>
        <w:t>Lei nº 15.269/2025</w:t>
      </w:r>
      <w:r w:rsidRPr="00956C98">
        <w:rPr>
          <w:lang w:val="pt-BR"/>
        </w:rPr>
        <w:t>, que determinou o cronograma oficial de expansão do Ambiente de Contratação Livre (ACL):</w:t>
      </w:r>
    </w:p>
    <w:p w14:paraId="7E1A78B1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a) Novembro de 2027: Abertura do mercado livre para os consumidores comerciais e industriais atendidos em baixa tensão (Subgrupo B3);</w:t>
      </w:r>
      <w:r w:rsidRPr="00956C98">
        <w:rPr>
          <w:lang w:val="pt-BR"/>
        </w:rPr>
        <w:br/>
        <w:t xml:space="preserve">b) </w:t>
      </w:r>
      <w:proofErr w:type="gramStart"/>
      <w:r w:rsidRPr="00956C98">
        <w:rPr>
          <w:lang w:val="pt-BR"/>
        </w:rPr>
        <w:t>Novembro</w:t>
      </w:r>
      <w:proofErr w:type="gramEnd"/>
      <w:r w:rsidRPr="00956C98">
        <w:rPr>
          <w:lang w:val="pt-BR"/>
        </w:rPr>
        <w:t xml:space="preserve"> de 2028: Abertura para a totalidade dos demais consumidores de baixa tensão, incluindo a classe residencial (Subgrupo B1) e a classe rural (Subgrupo B2).</w:t>
      </w:r>
    </w:p>
    <w:p w14:paraId="58950B8C" w14:textId="77777777" w:rsidR="005151BD" w:rsidRDefault="00000000">
      <w:pPr>
        <w:rPr>
          <w:lang w:val="pt-BR"/>
        </w:rPr>
      </w:pPr>
      <w:r w:rsidRPr="00956C98">
        <w:rPr>
          <w:lang w:val="pt-BR"/>
        </w:rPr>
        <w:t>Por que optar por uma abordagem baseada em dados em vez de um modelo analítico determinístico? Em sistemas elétricos de distribuição, o comportamento de consumo do Grupo B envolve a agregação de milhões de pequenas unidades consumidoras com forte sensibilidade a fatores climáticos (temperatura estival e uso de climatização) e dinâmicas socioeconômicas. Um modelo analítico puro torna-se inviável devido à impossibilidade de equacionar deterministicamente as variáveis comportamentais e sazonais. A abordagem por séries temporais e modelos preditivos de IA permite extrair os padrões determinísticos de tendência e sazonalidade a partir do histórico real, oferecendo suporte quantitativo para comercializadoras e agentes de mercado.</w:t>
      </w:r>
    </w:p>
    <w:p w14:paraId="1A6A4989" w14:textId="77777777" w:rsidR="003D6FFB" w:rsidRPr="00956C98" w:rsidRDefault="003D6FFB">
      <w:pPr>
        <w:rPr>
          <w:lang w:val="pt-BR"/>
        </w:rPr>
      </w:pPr>
    </w:p>
    <w:p w14:paraId="68E8CD67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lastRenderedPageBreak/>
        <w:t>2. BASE DE DADOS, REPRESENTATIVIDADE E PROCESSAMENTO (ETL)</w:t>
      </w:r>
    </w:p>
    <w:p w14:paraId="461CD690" w14:textId="77777777" w:rsidR="005151BD" w:rsidRPr="00956C98" w:rsidRDefault="00000000">
      <w:pPr>
        <w:spacing w:before="240" w:after="120"/>
        <w:ind w:firstLine="0"/>
        <w:rPr>
          <w:lang w:val="pt-BR"/>
        </w:rPr>
      </w:pPr>
      <w:r w:rsidRPr="00956C98">
        <w:rPr>
          <w:b/>
          <w:lang w:val="pt-BR"/>
        </w:rPr>
        <w:t>2.1 Origem dos Dados e Critério de Representatividade</w:t>
      </w:r>
    </w:p>
    <w:p w14:paraId="5B602C9A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Como destacado nas diretrizes da disciplina, a qualidade e a representatividade da base de dados são preceitos fundamentais para garantir que a modelagem capture a realidade do sistema elétrico. Coletar apenas um curto período de dados (como um único ano) impede que os algoritmos identifiquem dinâmicas de longo prazo, ciclos sazonais e sensibilidades a eventos extremos.</w:t>
      </w:r>
    </w:p>
    <w:p w14:paraId="139BE511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Para este estudo, utilizou-se a base de dados histórica oficial da CELESC Distribuição S.A., auditada pela ANEEL através do Sistema de Acompanhamento do Mercado de Distribuição (SAMP), disponibilizada publicamente no repositório </w:t>
      </w:r>
      <w:proofErr w:type="spellStart"/>
      <w:r w:rsidRPr="00956C98">
        <w:rPr>
          <w:lang w:val="pt-BR"/>
        </w:rPr>
        <w:t>mlsfinternacional-cpu</w:t>
      </w:r>
      <w:proofErr w:type="spellEnd"/>
      <w:r w:rsidRPr="00956C98">
        <w:rPr>
          <w:lang w:val="pt-BR"/>
        </w:rPr>
        <w:t xml:space="preserve">/03_Mercado_Energia_SC. A base contempla </w:t>
      </w:r>
      <w:r w:rsidRPr="00956C98">
        <w:rPr>
          <w:b/>
          <w:lang w:val="pt-BR"/>
        </w:rPr>
        <w:t>387 meses contínuos de registros (de janeiro de 1994 a março de 2026)</w:t>
      </w:r>
      <w:r w:rsidRPr="00956C98">
        <w:rPr>
          <w:lang w:val="pt-BR"/>
        </w:rPr>
        <w:t>, abrangendo 32 anos de histórico real do mercado elétrico de Santa Catarina. Esse amplo horizonte temporal garante que o modelo aprenda com múltiplos ciclos econômicos, expansão da infraestrutura e variações climáticas históricas.</w:t>
      </w:r>
    </w:p>
    <w:p w14:paraId="5EAF7DD6" w14:textId="77777777" w:rsidR="005151BD" w:rsidRPr="00956C98" w:rsidRDefault="00000000">
      <w:pPr>
        <w:spacing w:before="240" w:after="120"/>
        <w:ind w:firstLine="0"/>
        <w:rPr>
          <w:lang w:val="pt-BR"/>
        </w:rPr>
      </w:pPr>
      <w:r w:rsidRPr="00956C98">
        <w:rPr>
          <w:b/>
          <w:lang w:val="pt-BR"/>
        </w:rPr>
        <w:t>2.2 Engenharia de Recursos e Estruturação (Pipeline ETL em Python)</w:t>
      </w:r>
    </w:p>
    <w:p w14:paraId="0D7B7195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A planilha bruta (Municipio_Mensal_1T_2026.xlsx) apresentava formato </w:t>
      </w:r>
      <w:proofErr w:type="spellStart"/>
      <w:r w:rsidRPr="00956C98">
        <w:rPr>
          <w:lang w:val="pt-BR"/>
        </w:rPr>
        <w:t>pivoteado</w:t>
      </w:r>
      <w:proofErr w:type="spellEnd"/>
      <w:r w:rsidRPr="00956C98">
        <w:rPr>
          <w:lang w:val="pt-BR"/>
        </w:rPr>
        <w:t xml:space="preserve"> (</w:t>
      </w:r>
      <w:proofErr w:type="spellStart"/>
      <w:r w:rsidRPr="00956C98">
        <w:rPr>
          <w:lang w:val="pt-BR"/>
        </w:rPr>
        <w:t>wide</w:t>
      </w:r>
      <w:proofErr w:type="spellEnd"/>
      <w:r w:rsidRPr="00956C98">
        <w:rPr>
          <w:lang w:val="pt-BR"/>
        </w:rPr>
        <w:t xml:space="preserve"> </w:t>
      </w:r>
      <w:proofErr w:type="spellStart"/>
      <w:r w:rsidRPr="00956C98">
        <w:rPr>
          <w:lang w:val="pt-BR"/>
        </w:rPr>
        <w:t>format</w:t>
      </w:r>
      <w:proofErr w:type="spellEnd"/>
      <w:r w:rsidRPr="00956C98">
        <w:rPr>
          <w:lang w:val="pt-BR"/>
        </w:rPr>
        <w:t xml:space="preserve">) com 395 colunas. O estudante de mestrado desenvolveu um pipeline computacional em Python (utilizando as bibliotecas pandas e </w:t>
      </w:r>
      <w:proofErr w:type="spellStart"/>
      <w:r w:rsidRPr="00956C98">
        <w:rPr>
          <w:lang w:val="pt-BR"/>
        </w:rPr>
        <w:t>numpy</w:t>
      </w:r>
      <w:proofErr w:type="spellEnd"/>
      <w:r w:rsidRPr="00956C98">
        <w:rPr>
          <w:lang w:val="pt-BR"/>
        </w:rPr>
        <w:t xml:space="preserve">) para descarte de inconsistências, conversão dos cabeçalhos temporais e </w:t>
      </w:r>
      <w:proofErr w:type="spellStart"/>
      <w:r w:rsidRPr="00956C98">
        <w:rPr>
          <w:lang w:val="pt-BR"/>
        </w:rPr>
        <w:t>unpivot</w:t>
      </w:r>
      <w:proofErr w:type="spellEnd"/>
      <w:r w:rsidRPr="00956C98">
        <w:rPr>
          <w:lang w:val="pt-BR"/>
        </w:rPr>
        <w:t xml:space="preserve"> (</w:t>
      </w:r>
      <w:proofErr w:type="spellStart"/>
      <w:r w:rsidRPr="00956C98">
        <w:rPr>
          <w:lang w:val="pt-BR"/>
        </w:rPr>
        <w:t>melt</w:t>
      </w:r>
      <w:proofErr w:type="spellEnd"/>
      <w:r w:rsidRPr="00956C98">
        <w:rPr>
          <w:lang w:val="pt-BR"/>
        </w:rPr>
        <w:t xml:space="preserve">) da matriz. O resultado foi a geração de um banco de dados estruturado no formato longo com </w:t>
      </w:r>
      <w:r w:rsidRPr="00956C98">
        <w:rPr>
          <w:b/>
          <w:lang w:val="pt-BR"/>
        </w:rPr>
        <w:t>2.986.092 registros</w:t>
      </w:r>
      <w:r w:rsidRPr="00956C98">
        <w:rPr>
          <w:lang w:val="pt-BR"/>
        </w:rPr>
        <w:t>, contendo o consumo em MWh, o número de Unidades Consumidoras (UC) e o consumo específico (kWh/UC/mês) segregados por município e classe de consumo.</w:t>
      </w:r>
    </w:p>
    <w:p w14:paraId="53C117C0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Figura 1 – Evolução do Consumo de Energia Elétrica (MWh) do Grupo B em Santa Catarina (1994-2026)</w:t>
      </w:r>
      <w:r w:rsidRPr="00956C98">
        <w:rPr>
          <w:sz w:val="20"/>
          <w:lang w:val="pt-BR"/>
        </w:rPr>
        <w:br/>
      </w:r>
    </w:p>
    <w:p w14:paraId="31B90A8D" w14:textId="77777777" w:rsidR="005151B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225D54" wp14:editId="28631EE8">
            <wp:extent cx="5303520" cy="2272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sumo_mwh_grupo_b_s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88FC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Fonte: Elaborado pelo autor com dados da CELESC/ANEEL (2026).</w:t>
      </w:r>
    </w:p>
    <w:p w14:paraId="1B51E325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t>3. METODOLOGIA DE SÉRIES TEMPORAIS E USO DE IA GENERATIVA</w:t>
      </w:r>
    </w:p>
    <w:p w14:paraId="2F83D3BD" w14:textId="77777777" w:rsidR="005151BD" w:rsidRPr="00956C98" w:rsidRDefault="00000000">
      <w:pPr>
        <w:spacing w:before="240" w:after="120"/>
        <w:ind w:firstLine="0"/>
        <w:rPr>
          <w:lang w:val="pt-BR"/>
        </w:rPr>
      </w:pPr>
      <w:r w:rsidRPr="00956C98">
        <w:rPr>
          <w:b/>
          <w:lang w:val="pt-BR"/>
        </w:rPr>
        <w:t>3.1 Transparência sobre o Uso de IA Generativa no Desenvolvimento</w:t>
      </w:r>
    </w:p>
    <w:p w14:paraId="6F5ED692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Em consonância com as práticas modernas de pesquisa científica no mestrado, declara-se que o aluno utilizou assistentes de Inteligência Artificial Generativa (</w:t>
      </w:r>
      <w:proofErr w:type="spellStart"/>
      <w:r w:rsidRPr="00956C98">
        <w:rPr>
          <w:lang w:val="pt-BR"/>
        </w:rPr>
        <w:t>Antigravity</w:t>
      </w:r>
      <w:proofErr w:type="spellEnd"/>
      <w:r w:rsidRPr="00956C98">
        <w:rPr>
          <w:lang w:val="pt-BR"/>
        </w:rPr>
        <w:t xml:space="preserve"> / LLM) como ferramenta de suporte computacional e produtividade. A IA foi empregada nas seguintes etapas do trabalho:</w:t>
      </w:r>
      <w:r w:rsidRPr="00956C98">
        <w:rPr>
          <w:lang w:val="pt-BR"/>
        </w:rPr>
        <w:br/>
        <w:t xml:space="preserve">1) Auxílio na escrita e otimização dos scripts de manipulação de dados em Python (tratamento de exceções e </w:t>
      </w:r>
      <w:proofErr w:type="spellStart"/>
      <w:r w:rsidRPr="00956C98">
        <w:rPr>
          <w:lang w:val="pt-BR"/>
        </w:rPr>
        <w:t>unpivot</w:t>
      </w:r>
      <w:proofErr w:type="spellEnd"/>
      <w:r w:rsidRPr="00956C98">
        <w:rPr>
          <w:lang w:val="pt-BR"/>
        </w:rPr>
        <w:t xml:space="preserve"> do arquivo Excel de 36 MB);</w:t>
      </w:r>
      <w:r w:rsidRPr="00956C98">
        <w:rPr>
          <w:lang w:val="pt-BR"/>
        </w:rPr>
        <w:br/>
        <w:t>2) Apoio no enquadramento sintático das bibliotecas estatísticas (</w:t>
      </w:r>
      <w:proofErr w:type="spellStart"/>
      <w:r w:rsidRPr="00956C98">
        <w:rPr>
          <w:lang w:val="pt-BR"/>
        </w:rPr>
        <w:t>statsmodels</w:t>
      </w:r>
      <w:proofErr w:type="spellEnd"/>
      <w:r w:rsidRPr="00956C98">
        <w:rPr>
          <w:lang w:val="pt-BR"/>
        </w:rPr>
        <w:t xml:space="preserve"> e </w:t>
      </w:r>
      <w:proofErr w:type="spellStart"/>
      <w:r w:rsidRPr="00956C98">
        <w:rPr>
          <w:lang w:val="pt-BR"/>
        </w:rPr>
        <w:t>scikit-learn</w:t>
      </w:r>
      <w:proofErr w:type="spellEnd"/>
      <w:r w:rsidRPr="00956C98">
        <w:rPr>
          <w:lang w:val="pt-BR"/>
        </w:rPr>
        <w:t xml:space="preserve">) para treinamento dos modelos SARIMAX e </w:t>
      </w:r>
      <w:proofErr w:type="spellStart"/>
      <w:r w:rsidRPr="00956C98">
        <w:rPr>
          <w:lang w:val="pt-BR"/>
        </w:rPr>
        <w:t>Gradient</w:t>
      </w:r>
      <w:proofErr w:type="spellEnd"/>
      <w:r w:rsidRPr="00956C98">
        <w:rPr>
          <w:lang w:val="pt-BR"/>
        </w:rPr>
        <w:t xml:space="preserve"> </w:t>
      </w:r>
      <w:proofErr w:type="spellStart"/>
      <w:r w:rsidRPr="00956C98">
        <w:rPr>
          <w:lang w:val="pt-BR"/>
        </w:rPr>
        <w:t>Boosting</w:t>
      </w:r>
      <w:proofErr w:type="spellEnd"/>
      <w:r w:rsidRPr="00956C98">
        <w:rPr>
          <w:lang w:val="pt-BR"/>
        </w:rPr>
        <w:t>;</w:t>
      </w:r>
      <w:r w:rsidRPr="00956C98">
        <w:rPr>
          <w:lang w:val="pt-BR"/>
        </w:rPr>
        <w:br/>
        <w:t>3) Suporte na formatação automatizada do relatório final segundo as normas ABNT.</w:t>
      </w:r>
      <w:r w:rsidRPr="00956C98">
        <w:rPr>
          <w:lang w:val="pt-BR"/>
        </w:rPr>
        <w:br/>
        <w:t>Cabe ressaltar que a concepção do problema, a definição da estratégia de negócio do Mercado Livre, a interpretação crítica das métricas preditivas e a validação dos resultados foram conduzidas rigorosamente sob a responsabilidade e supervisão direta do estudante de mestrado.</w:t>
      </w:r>
    </w:p>
    <w:p w14:paraId="245A81DF" w14:textId="77777777" w:rsidR="005151BD" w:rsidRDefault="00000000">
      <w:pPr>
        <w:spacing w:before="240" w:after="120"/>
        <w:ind w:firstLine="0"/>
      </w:pPr>
      <w:r>
        <w:rPr>
          <w:b/>
        </w:rPr>
        <w:t xml:space="preserve">3.2 </w:t>
      </w:r>
      <w:proofErr w:type="spellStart"/>
      <w:r>
        <w:rPr>
          <w:b/>
        </w:rPr>
        <w:t>Decomposição</w:t>
      </w:r>
      <w:proofErr w:type="spellEnd"/>
      <w:r>
        <w:rPr>
          <w:b/>
        </w:rPr>
        <w:t xml:space="preserve"> STL (Seasonal-Trend decomposition using LOESS)</w:t>
      </w:r>
    </w:p>
    <w:p w14:paraId="3F3511F7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Para separar a tendência determinística de longo prazo do ciclo sazonal de verão, aplicou-se a decomposição aditiva STL: </w:t>
      </w:r>
      <w:proofErr w:type="spellStart"/>
      <w:r w:rsidRPr="00956C98">
        <w:rPr>
          <w:lang w:val="pt-BR"/>
        </w:rPr>
        <w:t>Y_t</w:t>
      </w:r>
      <w:proofErr w:type="spellEnd"/>
      <w:r w:rsidRPr="00956C98">
        <w:rPr>
          <w:lang w:val="pt-BR"/>
        </w:rPr>
        <w:t xml:space="preserve"> = </w:t>
      </w:r>
      <w:proofErr w:type="spellStart"/>
      <w:r w:rsidRPr="00956C98">
        <w:rPr>
          <w:lang w:val="pt-BR"/>
        </w:rPr>
        <w:t>T_t</w:t>
      </w:r>
      <w:proofErr w:type="spellEnd"/>
      <w:r w:rsidRPr="00956C98">
        <w:rPr>
          <w:lang w:val="pt-BR"/>
        </w:rPr>
        <w:t xml:space="preserve"> + </w:t>
      </w:r>
      <w:proofErr w:type="spellStart"/>
      <w:r w:rsidRPr="00956C98">
        <w:rPr>
          <w:lang w:val="pt-BR"/>
        </w:rPr>
        <w:t>S_t</w:t>
      </w:r>
      <w:proofErr w:type="spellEnd"/>
      <w:r w:rsidRPr="00956C98">
        <w:rPr>
          <w:lang w:val="pt-BR"/>
        </w:rPr>
        <w:t xml:space="preserve"> + </w:t>
      </w:r>
      <w:proofErr w:type="spellStart"/>
      <w:r w:rsidRPr="00956C98">
        <w:rPr>
          <w:lang w:val="pt-BR"/>
        </w:rPr>
        <w:t>R_t</w:t>
      </w:r>
      <w:proofErr w:type="spellEnd"/>
      <w:r w:rsidRPr="00956C98">
        <w:rPr>
          <w:lang w:val="pt-BR"/>
        </w:rPr>
        <w:t xml:space="preserve">. As forças de </w:t>
      </w:r>
      <w:r w:rsidRPr="00956C98">
        <w:rPr>
          <w:lang w:val="pt-BR"/>
        </w:rPr>
        <w:lastRenderedPageBreak/>
        <w:t>tendência (FT) e sazonalidade (FS) foram calculadas a partir das variâncias dos componentes decompostos.</w:t>
      </w:r>
    </w:p>
    <w:p w14:paraId="71FF1548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Figura 2 – Decomposição STL da Série Temporal da Classe Residencial (1994-2026)</w:t>
      </w:r>
      <w:r w:rsidRPr="00956C98">
        <w:rPr>
          <w:sz w:val="20"/>
          <w:lang w:val="pt-BR"/>
        </w:rPr>
        <w:br/>
      </w:r>
    </w:p>
    <w:p w14:paraId="61E06237" w14:textId="77777777" w:rsidR="005151B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DA57761" wp14:editId="4FE1C0EB">
            <wp:extent cx="5303520" cy="3788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l_decomposicao_residenci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C9F1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 xml:space="preserve">Fonte: Elaborado pelo autor via biblioteca </w:t>
      </w:r>
      <w:proofErr w:type="spellStart"/>
      <w:r w:rsidRPr="00956C98">
        <w:rPr>
          <w:sz w:val="20"/>
          <w:lang w:val="pt-BR"/>
        </w:rPr>
        <w:t>statsmodels</w:t>
      </w:r>
      <w:proofErr w:type="spellEnd"/>
      <w:r w:rsidRPr="00956C98">
        <w:rPr>
          <w:sz w:val="20"/>
          <w:lang w:val="pt-BR"/>
        </w:rPr>
        <w:t xml:space="preserve"> (2026).</w:t>
      </w:r>
    </w:p>
    <w:p w14:paraId="36642D52" w14:textId="77777777" w:rsidR="005151BD" w:rsidRPr="00956C98" w:rsidRDefault="00000000">
      <w:pPr>
        <w:spacing w:before="240" w:after="120"/>
        <w:ind w:firstLine="0"/>
        <w:rPr>
          <w:lang w:val="pt-BR"/>
        </w:rPr>
      </w:pPr>
      <w:r w:rsidRPr="00956C98">
        <w:rPr>
          <w:b/>
          <w:lang w:val="pt-BR"/>
        </w:rPr>
        <w:t xml:space="preserve">3.3 Modelagem Preditiva: SARIMAX </w:t>
      </w:r>
      <w:proofErr w:type="spellStart"/>
      <w:r w:rsidRPr="00956C98">
        <w:rPr>
          <w:b/>
          <w:lang w:val="pt-BR"/>
        </w:rPr>
        <w:t>vs</w:t>
      </w:r>
      <w:proofErr w:type="spellEnd"/>
      <w:r w:rsidRPr="00956C98">
        <w:rPr>
          <w:b/>
          <w:lang w:val="pt-BR"/>
        </w:rPr>
        <w:t xml:space="preserve"> Machine Learning</w:t>
      </w:r>
    </w:p>
    <w:p w14:paraId="3C2B658D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Foram implementadas duas abordagens preditivas concorrentes:</w:t>
      </w:r>
      <w:r w:rsidRPr="00956C98">
        <w:rPr>
          <w:lang w:val="pt-BR"/>
        </w:rPr>
        <w:br/>
        <w:t xml:space="preserve">a) Modelo SARIMAX(1,1,1)x(1,1,1)12: Modelo estatístico clássico de séries temporais parametrizado via análise de autocorrelação (ACF/PACF), capturando a inércia </w:t>
      </w:r>
      <w:proofErr w:type="spellStart"/>
      <w:r w:rsidRPr="00956C98">
        <w:rPr>
          <w:lang w:val="pt-BR"/>
        </w:rPr>
        <w:t>autoregressiva</w:t>
      </w:r>
      <w:proofErr w:type="spellEnd"/>
      <w:r w:rsidRPr="00956C98">
        <w:rPr>
          <w:lang w:val="pt-BR"/>
        </w:rPr>
        <w:t xml:space="preserve"> e o ciclo sazonal de 12 meses;</w:t>
      </w:r>
      <w:r w:rsidRPr="00956C98">
        <w:rPr>
          <w:lang w:val="pt-BR"/>
        </w:rPr>
        <w:br/>
        <w:t xml:space="preserve">b) </w:t>
      </w:r>
      <w:proofErr w:type="spellStart"/>
      <w:r w:rsidRPr="00956C98">
        <w:rPr>
          <w:lang w:val="pt-BR"/>
        </w:rPr>
        <w:t>HistGradientBoostingRegressor</w:t>
      </w:r>
      <w:proofErr w:type="spellEnd"/>
      <w:r w:rsidRPr="00956C98">
        <w:rPr>
          <w:lang w:val="pt-BR"/>
        </w:rPr>
        <w:t xml:space="preserve"> (ML): Modelo de aprendizado baseado em árvores de decisão impulsionadas, alimentado com 12 variáveis de defasagem (</w:t>
      </w:r>
      <w:proofErr w:type="spellStart"/>
      <w:r w:rsidRPr="00956C98">
        <w:rPr>
          <w:lang w:val="pt-BR"/>
        </w:rPr>
        <w:t>lags</w:t>
      </w:r>
      <w:proofErr w:type="spellEnd"/>
      <w:r w:rsidRPr="00956C98">
        <w:rPr>
          <w:lang w:val="pt-BR"/>
        </w:rPr>
        <w:t>) e codificadores de calendário.</w:t>
      </w:r>
    </w:p>
    <w:p w14:paraId="67E3A5FE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t>4. RESULTADOS E DISCUSSÃO DOS MODELOS</w:t>
      </w:r>
    </w:p>
    <w:p w14:paraId="2363DDF6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lastRenderedPageBreak/>
        <w:t>A Tabela 1 apresenta o diagnóstico estatístico da decomposição STL para as três principais classes de consumo do Grupo B catarinense.</w:t>
      </w:r>
    </w:p>
    <w:p w14:paraId="4946F44B" w14:textId="77777777" w:rsidR="005151BD" w:rsidRPr="00956C98" w:rsidRDefault="00000000">
      <w:pPr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Tabela 1 – Métricas Estatísticas de Tendência e Sazonalidade (Grupo B em SC)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151BD" w14:paraId="57D92EC1" w14:textId="77777777">
        <w:trPr>
          <w:jc w:val="center"/>
        </w:trPr>
        <w:tc>
          <w:tcPr>
            <w:tcW w:w="1881" w:type="dxa"/>
          </w:tcPr>
          <w:p w14:paraId="4216B77D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Classe do Grupo B</w:t>
            </w:r>
          </w:p>
        </w:tc>
        <w:tc>
          <w:tcPr>
            <w:tcW w:w="1881" w:type="dxa"/>
          </w:tcPr>
          <w:p w14:paraId="7C8A12DE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Força Tendência (FT)</w:t>
            </w:r>
          </w:p>
        </w:tc>
        <w:tc>
          <w:tcPr>
            <w:tcW w:w="1881" w:type="dxa"/>
          </w:tcPr>
          <w:p w14:paraId="5802D465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Força Sazonalidade (FS)</w:t>
            </w:r>
          </w:p>
        </w:tc>
        <w:tc>
          <w:tcPr>
            <w:tcW w:w="1881" w:type="dxa"/>
          </w:tcPr>
          <w:p w14:paraId="7F9B095E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Consumo Médio (MWh)</w:t>
            </w:r>
          </w:p>
        </w:tc>
        <w:tc>
          <w:tcPr>
            <w:tcW w:w="1881" w:type="dxa"/>
          </w:tcPr>
          <w:p w14:paraId="79C363D0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Consumo Máximo (MWh)</w:t>
            </w:r>
          </w:p>
        </w:tc>
      </w:tr>
      <w:tr w:rsidR="005151BD" w14:paraId="21790915" w14:textId="77777777">
        <w:trPr>
          <w:jc w:val="center"/>
        </w:trPr>
        <w:tc>
          <w:tcPr>
            <w:tcW w:w="1881" w:type="dxa"/>
          </w:tcPr>
          <w:p w14:paraId="41E37642" w14:textId="77777777" w:rsidR="005151BD" w:rsidRDefault="00000000">
            <w:pPr>
              <w:ind w:firstLine="0"/>
              <w:jc w:val="left"/>
            </w:pPr>
            <w:r>
              <w:rPr>
                <w:sz w:val="20"/>
              </w:rPr>
              <w:t>Residencial (B1)</w:t>
            </w:r>
          </w:p>
        </w:tc>
        <w:tc>
          <w:tcPr>
            <w:tcW w:w="1881" w:type="dxa"/>
          </w:tcPr>
          <w:p w14:paraId="4E3C9B2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0,9816</w:t>
            </w:r>
          </w:p>
        </w:tc>
        <w:tc>
          <w:tcPr>
            <w:tcW w:w="1881" w:type="dxa"/>
          </w:tcPr>
          <w:p w14:paraId="061893C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0,8325</w:t>
            </w:r>
          </w:p>
        </w:tc>
        <w:tc>
          <w:tcPr>
            <w:tcW w:w="1881" w:type="dxa"/>
          </w:tcPr>
          <w:p w14:paraId="77E977F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374.368,19</w:t>
            </w:r>
          </w:p>
        </w:tc>
        <w:tc>
          <w:tcPr>
            <w:tcW w:w="1881" w:type="dxa"/>
          </w:tcPr>
          <w:p w14:paraId="52ABBCDB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866.634,57</w:t>
            </w:r>
          </w:p>
        </w:tc>
      </w:tr>
      <w:tr w:rsidR="005151BD" w14:paraId="00C535D0" w14:textId="77777777">
        <w:trPr>
          <w:jc w:val="center"/>
        </w:trPr>
        <w:tc>
          <w:tcPr>
            <w:tcW w:w="1881" w:type="dxa"/>
          </w:tcPr>
          <w:p w14:paraId="3B5E3735" w14:textId="77777777" w:rsidR="005151BD" w:rsidRDefault="00000000">
            <w:pPr>
              <w:ind w:firstLine="0"/>
              <w:jc w:val="left"/>
            </w:pPr>
            <w:r>
              <w:rPr>
                <w:sz w:val="20"/>
              </w:rPr>
              <w:t>Comercial (B3)</w:t>
            </w:r>
          </w:p>
        </w:tc>
        <w:tc>
          <w:tcPr>
            <w:tcW w:w="1881" w:type="dxa"/>
          </w:tcPr>
          <w:p w14:paraId="2878B828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0,9758</w:t>
            </w:r>
          </w:p>
        </w:tc>
        <w:tc>
          <w:tcPr>
            <w:tcW w:w="1881" w:type="dxa"/>
          </w:tcPr>
          <w:p w14:paraId="3A3DB072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0,8252</w:t>
            </w:r>
          </w:p>
        </w:tc>
        <w:tc>
          <w:tcPr>
            <w:tcW w:w="1881" w:type="dxa"/>
          </w:tcPr>
          <w:p w14:paraId="6BA6DE0D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208.631,87</w:t>
            </w:r>
          </w:p>
        </w:tc>
        <w:tc>
          <w:tcPr>
            <w:tcW w:w="1881" w:type="dxa"/>
          </w:tcPr>
          <w:p w14:paraId="7BA1945A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382.136,78</w:t>
            </w:r>
          </w:p>
        </w:tc>
      </w:tr>
      <w:tr w:rsidR="005151BD" w14:paraId="151BB6E7" w14:textId="77777777">
        <w:trPr>
          <w:jc w:val="center"/>
        </w:trPr>
        <w:tc>
          <w:tcPr>
            <w:tcW w:w="1881" w:type="dxa"/>
          </w:tcPr>
          <w:p w14:paraId="28AE1C72" w14:textId="77777777" w:rsidR="005151BD" w:rsidRDefault="00000000">
            <w:pPr>
              <w:ind w:firstLine="0"/>
              <w:jc w:val="left"/>
            </w:pPr>
            <w:r>
              <w:rPr>
                <w:sz w:val="20"/>
              </w:rPr>
              <w:t>Rural (B2)</w:t>
            </w:r>
          </w:p>
        </w:tc>
        <w:tc>
          <w:tcPr>
            <w:tcW w:w="1881" w:type="dxa"/>
          </w:tcPr>
          <w:p w14:paraId="3A85F78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0,9241</w:t>
            </w:r>
          </w:p>
        </w:tc>
        <w:tc>
          <w:tcPr>
            <w:tcW w:w="1881" w:type="dxa"/>
          </w:tcPr>
          <w:p w14:paraId="4075477A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0,6737</w:t>
            </w:r>
          </w:p>
        </w:tc>
        <w:tc>
          <w:tcPr>
            <w:tcW w:w="1881" w:type="dxa"/>
          </w:tcPr>
          <w:p w14:paraId="6E43DE3F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102.276,39</w:t>
            </w:r>
          </w:p>
        </w:tc>
        <w:tc>
          <w:tcPr>
            <w:tcW w:w="1881" w:type="dxa"/>
          </w:tcPr>
          <w:p w14:paraId="3CB2094E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154.303,63</w:t>
            </w:r>
          </w:p>
        </w:tc>
      </w:tr>
    </w:tbl>
    <w:p w14:paraId="63446CEB" w14:textId="77777777" w:rsidR="005151BD" w:rsidRDefault="00000000">
      <w:pPr>
        <w:ind w:firstLine="0"/>
        <w:jc w:val="center"/>
      </w:pPr>
      <w:r>
        <w:rPr>
          <w:sz w:val="20"/>
        </w:rPr>
        <w:t>Fonte: Elaborado pelo autor (2026).</w:t>
      </w:r>
    </w:p>
    <w:p w14:paraId="53136BA1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Como discutido nas reuniões da disciplina, a identificação clara da força de tendência (FT &gt; 92%) e sazonalidade (FS &gt; 82%) justifica a elevada previsibilidade da demanda. A Tabela 2 apresenta o confronto de acurácia preditiva na janela de teste fora da amostra (27 meses, de </w:t>
      </w:r>
      <w:proofErr w:type="spellStart"/>
      <w:r w:rsidRPr="00956C98">
        <w:rPr>
          <w:lang w:val="pt-BR"/>
        </w:rPr>
        <w:t>jan</w:t>
      </w:r>
      <w:proofErr w:type="spellEnd"/>
      <w:r w:rsidRPr="00956C98">
        <w:rPr>
          <w:lang w:val="pt-BR"/>
        </w:rPr>
        <w:t>/2024 a mar/2026).</w:t>
      </w:r>
    </w:p>
    <w:p w14:paraId="2B14EDC9" w14:textId="77777777" w:rsidR="005151BD" w:rsidRPr="00956C98" w:rsidRDefault="00000000">
      <w:pPr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Tabela 2 – Desempenho Preditivo no Período de Teste (2024-2026)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51BD" w14:paraId="4F6B1119" w14:textId="77777777">
        <w:trPr>
          <w:jc w:val="center"/>
        </w:trPr>
        <w:tc>
          <w:tcPr>
            <w:tcW w:w="2351" w:type="dxa"/>
          </w:tcPr>
          <w:p w14:paraId="5CF2F9E1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Modelo de IA / Estatístico</w:t>
            </w:r>
          </w:p>
        </w:tc>
        <w:tc>
          <w:tcPr>
            <w:tcW w:w="2351" w:type="dxa"/>
          </w:tcPr>
          <w:p w14:paraId="70691FFA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RMSE (MWh)</w:t>
            </w:r>
          </w:p>
        </w:tc>
        <w:tc>
          <w:tcPr>
            <w:tcW w:w="2351" w:type="dxa"/>
          </w:tcPr>
          <w:p w14:paraId="0BFCA199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MAE (MWh)</w:t>
            </w:r>
          </w:p>
        </w:tc>
        <w:tc>
          <w:tcPr>
            <w:tcW w:w="2351" w:type="dxa"/>
          </w:tcPr>
          <w:p w14:paraId="75D03415" w14:textId="77777777" w:rsidR="005151BD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MAPE (%)</w:t>
            </w:r>
          </w:p>
        </w:tc>
      </w:tr>
      <w:tr w:rsidR="005151BD" w14:paraId="3134B4FE" w14:textId="77777777">
        <w:trPr>
          <w:jc w:val="center"/>
        </w:trPr>
        <w:tc>
          <w:tcPr>
            <w:tcW w:w="2351" w:type="dxa"/>
          </w:tcPr>
          <w:p w14:paraId="597BD581" w14:textId="77777777" w:rsidR="005151BD" w:rsidRDefault="00000000">
            <w:pPr>
              <w:ind w:firstLine="0"/>
              <w:jc w:val="left"/>
            </w:pPr>
            <w:r>
              <w:rPr>
                <w:sz w:val="20"/>
              </w:rPr>
              <w:t>SARIMAX (1,1,1)x(1,1,1)12</w:t>
            </w:r>
          </w:p>
        </w:tc>
        <w:tc>
          <w:tcPr>
            <w:tcW w:w="2351" w:type="dxa"/>
          </w:tcPr>
          <w:p w14:paraId="7EBAA581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52.040,77</w:t>
            </w:r>
          </w:p>
        </w:tc>
        <w:tc>
          <w:tcPr>
            <w:tcW w:w="2351" w:type="dxa"/>
          </w:tcPr>
          <w:p w14:paraId="596C386D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42.435,58</w:t>
            </w:r>
          </w:p>
        </w:tc>
        <w:tc>
          <w:tcPr>
            <w:tcW w:w="2351" w:type="dxa"/>
          </w:tcPr>
          <w:p w14:paraId="27BDA376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6,03%</w:t>
            </w:r>
          </w:p>
        </w:tc>
      </w:tr>
      <w:tr w:rsidR="005151BD" w14:paraId="78E0FBF2" w14:textId="77777777">
        <w:trPr>
          <w:jc w:val="center"/>
        </w:trPr>
        <w:tc>
          <w:tcPr>
            <w:tcW w:w="2351" w:type="dxa"/>
          </w:tcPr>
          <w:p w14:paraId="4E1046EB" w14:textId="77777777" w:rsidR="005151BD" w:rsidRDefault="00000000">
            <w:pPr>
              <w:ind w:firstLine="0"/>
              <w:jc w:val="left"/>
            </w:pPr>
            <w:r>
              <w:rPr>
                <w:sz w:val="20"/>
              </w:rPr>
              <w:t>HistGradientBoosting (ML)</w:t>
            </w:r>
          </w:p>
        </w:tc>
        <w:tc>
          <w:tcPr>
            <w:tcW w:w="2351" w:type="dxa"/>
          </w:tcPr>
          <w:p w14:paraId="617D8C9F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86.599,07</w:t>
            </w:r>
          </w:p>
        </w:tc>
        <w:tc>
          <w:tcPr>
            <w:tcW w:w="2351" w:type="dxa"/>
          </w:tcPr>
          <w:p w14:paraId="2888952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63.708,02</w:t>
            </w:r>
          </w:p>
        </w:tc>
        <w:tc>
          <w:tcPr>
            <w:tcW w:w="2351" w:type="dxa"/>
          </w:tcPr>
          <w:p w14:paraId="1ACE56B4" w14:textId="77777777" w:rsidR="005151BD" w:rsidRDefault="00000000">
            <w:pPr>
              <w:ind w:firstLine="0"/>
              <w:jc w:val="center"/>
            </w:pPr>
            <w:r>
              <w:rPr>
                <w:sz w:val="20"/>
              </w:rPr>
              <w:t>8,40%</w:t>
            </w:r>
          </w:p>
        </w:tc>
      </w:tr>
    </w:tbl>
    <w:p w14:paraId="6A2E7AD5" w14:textId="77777777" w:rsidR="005151BD" w:rsidRDefault="00000000">
      <w:pPr>
        <w:ind w:firstLine="0"/>
        <w:jc w:val="center"/>
      </w:pPr>
      <w:r>
        <w:rPr>
          <w:sz w:val="20"/>
        </w:rPr>
        <w:t>Fonte: Elaborado pelo autor (2026).</w:t>
      </w:r>
    </w:p>
    <w:p w14:paraId="142B2A67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 xml:space="preserve">O modelo </w:t>
      </w:r>
      <w:r w:rsidRPr="00956C98">
        <w:rPr>
          <w:b/>
          <w:lang w:val="pt-BR"/>
        </w:rPr>
        <w:t>SARIMAX obteve um MAPE de apenas 6,03%</w:t>
      </w:r>
      <w:r w:rsidRPr="00956C98">
        <w:rPr>
          <w:lang w:val="pt-BR"/>
        </w:rPr>
        <w:t>, demonstrando um alinhamento preditivo robusto. A Figura 3 exibe a projeção continuada até o final de 2028, demarcando os pontos de inflexão das datas de abertura da Lei 15.269/2025.</w:t>
      </w:r>
    </w:p>
    <w:p w14:paraId="57066FE8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Figura 3 – Projeção Preditiva do Consumo (MWh) até 2028 e Marcos da Lei nº 15.269/2025</w:t>
      </w:r>
      <w:r w:rsidRPr="00956C98">
        <w:rPr>
          <w:sz w:val="20"/>
          <w:lang w:val="pt-BR"/>
        </w:rPr>
        <w:br/>
      </w:r>
    </w:p>
    <w:p w14:paraId="2D0003DB" w14:textId="77777777" w:rsidR="005151B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B2DACE" wp14:editId="4280C5BC">
            <wp:extent cx="5303520" cy="21214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jecao_futura_grupo_b_20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A399" w14:textId="77777777" w:rsidR="005151BD" w:rsidRPr="00956C98" w:rsidRDefault="00000000">
      <w:pPr>
        <w:spacing w:line="240" w:lineRule="auto"/>
        <w:ind w:firstLine="0"/>
        <w:jc w:val="center"/>
        <w:rPr>
          <w:lang w:val="pt-BR"/>
        </w:rPr>
      </w:pPr>
      <w:r w:rsidRPr="00956C98">
        <w:rPr>
          <w:sz w:val="20"/>
          <w:lang w:val="pt-BR"/>
        </w:rPr>
        <w:t>Fonte: Elaborado pelo autor com modelo SARIMAX (2026).</w:t>
      </w:r>
    </w:p>
    <w:p w14:paraId="51B129E1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t>5. CONCLUSÕES E APLICABILIDADE PRÁTICA</w:t>
      </w:r>
    </w:p>
    <w:p w14:paraId="14A07BFA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O presente trabalho cumpriu integralmente o objetivo da disciplina de proporcionar a experiência prática completa de análise de dados aplicada a sistemas de energia. Ao focar em um problema real de relevante impacto regulatório e econômico no estado de Santa Catarina, o estudo demonstrou que:</w:t>
      </w:r>
    </w:p>
    <w:p w14:paraId="6BC0D420" w14:textId="77777777" w:rsidR="005151BD" w:rsidRPr="00956C98" w:rsidRDefault="00000000">
      <w:pPr>
        <w:rPr>
          <w:lang w:val="pt-BR"/>
        </w:rPr>
      </w:pPr>
      <w:r w:rsidRPr="00956C98">
        <w:rPr>
          <w:lang w:val="pt-BR"/>
        </w:rPr>
        <w:t>1) A estruturação adequada de um longo histórico de dados (32 anos da CELESC) é o pilar fundamental que viabilizou o treinamento preciso dos algoritmos, superando análises restritas a curto prazo;</w:t>
      </w:r>
      <w:r w:rsidRPr="00956C98">
        <w:rPr>
          <w:lang w:val="pt-BR"/>
        </w:rPr>
        <w:br/>
        <w:t>2) O modelo SARIMAX (1,1,1)x(1,1,1)12 forneceu uma projeção de altíssima acurácia (MAPE de 6,03%), permitindo prever que a demanda residencial em SC superará 950.000 MWh/mês nos picos estivais de 2028;</w:t>
      </w:r>
      <w:r w:rsidRPr="00956C98">
        <w:rPr>
          <w:lang w:val="pt-BR"/>
        </w:rPr>
        <w:br/>
        <w:t>3) O uso de assistentes de IA Generativa atuou como um catalisador de produtividade para o mestrando, agilizando o tratamento de dados complexos em Python e a documentação acadêmica, enquanto o julgamento técnico de engenharia conduziu a interpretação dos resultados.</w:t>
      </w:r>
    </w:p>
    <w:p w14:paraId="5F96B334" w14:textId="77777777" w:rsidR="005151BD" w:rsidRPr="00956C98" w:rsidRDefault="00000000">
      <w:pPr>
        <w:spacing w:before="360" w:after="120"/>
        <w:ind w:firstLine="0"/>
        <w:rPr>
          <w:lang w:val="pt-BR"/>
        </w:rPr>
      </w:pPr>
      <w:r w:rsidRPr="00956C98">
        <w:rPr>
          <w:b/>
          <w:lang w:val="pt-BR"/>
        </w:rPr>
        <w:t>REFERÊNCIAS</w:t>
      </w:r>
    </w:p>
    <w:p w14:paraId="3365BB2A" w14:textId="77777777" w:rsidR="005151BD" w:rsidRPr="00956C98" w:rsidRDefault="00000000">
      <w:pPr>
        <w:spacing w:after="120" w:line="240" w:lineRule="auto"/>
        <w:ind w:firstLine="0"/>
        <w:rPr>
          <w:lang w:val="pt-BR"/>
        </w:rPr>
      </w:pPr>
      <w:r w:rsidRPr="00956C98">
        <w:rPr>
          <w:sz w:val="20"/>
          <w:lang w:val="pt-BR"/>
        </w:rPr>
        <w:t>ANEEL. Sistema de Acompanhamento do Mercado de Distribuição de Energia Elétrica (SAMP). Agência Nacional de Energia Elétrica. Disponível em: &lt;https://dadosabertos.aneel.gov.br/&gt;. Acesso em: 2026.</w:t>
      </w:r>
    </w:p>
    <w:p w14:paraId="60CA1BF6" w14:textId="77777777" w:rsidR="005151BD" w:rsidRPr="00956C98" w:rsidRDefault="00000000">
      <w:pPr>
        <w:spacing w:after="120" w:line="240" w:lineRule="auto"/>
        <w:ind w:firstLine="0"/>
        <w:rPr>
          <w:lang w:val="pt-BR"/>
        </w:rPr>
      </w:pPr>
      <w:r w:rsidRPr="00956C98">
        <w:rPr>
          <w:sz w:val="20"/>
          <w:lang w:val="pt-BR"/>
        </w:rPr>
        <w:t>BRASIL. Lei nº 15.269, de 2025. Altera a legislação do setor elétrico para a expansão do mercado livre de energia a consumidores de baixa tensão. Brasília, DF, 2025.</w:t>
      </w:r>
    </w:p>
    <w:p w14:paraId="449FA72D" w14:textId="77777777" w:rsidR="005151BD" w:rsidRDefault="00000000">
      <w:pPr>
        <w:spacing w:after="120" w:line="240" w:lineRule="auto"/>
        <w:ind w:firstLine="0"/>
      </w:pPr>
      <w:r w:rsidRPr="00956C98">
        <w:rPr>
          <w:sz w:val="20"/>
          <w:lang w:val="pt-BR"/>
        </w:rPr>
        <w:lastRenderedPageBreak/>
        <w:t xml:space="preserve">CELESC DISTRIBUIÇÃO S.A. Dados Históricos de Vendas de Energia por Município (1994-2026). </w:t>
      </w:r>
      <w:r>
        <w:rPr>
          <w:sz w:val="20"/>
        </w:rPr>
        <w:t>Florianópolis, SC, 2026.</w:t>
      </w:r>
    </w:p>
    <w:p w14:paraId="3BDD3806" w14:textId="77777777" w:rsidR="005151BD" w:rsidRDefault="00000000">
      <w:pPr>
        <w:spacing w:after="120" w:line="240" w:lineRule="auto"/>
        <w:ind w:firstLine="0"/>
      </w:pPr>
      <w:r>
        <w:rPr>
          <w:sz w:val="20"/>
        </w:rPr>
        <w:t>GOLDBERG, D. E. Genetic Algorithms in Search, Optimization, and Machine Learning. New York: Addison-Wesley, 1989.</w:t>
      </w:r>
    </w:p>
    <w:p w14:paraId="30BB0D61" w14:textId="77777777" w:rsidR="005151BD" w:rsidRDefault="00000000">
      <w:pPr>
        <w:spacing w:after="120" w:line="240" w:lineRule="auto"/>
        <w:ind w:firstLine="0"/>
      </w:pPr>
      <w:r>
        <w:rPr>
          <w:sz w:val="20"/>
        </w:rPr>
        <w:t>HAYKIN, S. Redes Neurais: Princípios e Práticas. 2ª ed. Porto Alegre: Artmed Editora, 2002.</w:t>
      </w:r>
    </w:p>
    <w:p w14:paraId="12FD1BDB" w14:textId="77777777" w:rsidR="005151BD" w:rsidRDefault="00000000">
      <w:pPr>
        <w:spacing w:after="120" w:line="240" w:lineRule="auto"/>
        <w:ind w:firstLine="0"/>
      </w:pPr>
      <w:r>
        <w:rPr>
          <w:sz w:val="20"/>
        </w:rPr>
        <w:t>HYNDMAN, R. J.; ATHANASOPOULOS, G. Forecasting: principles and practice. 3rd ed. Melbourne: OTexts, 2021.</w:t>
      </w:r>
    </w:p>
    <w:sectPr w:rsidR="005151BD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836438">
    <w:abstractNumId w:val="8"/>
  </w:num>
  <w:num w:numId="2" w16cid:durableId="1221790347">
    <w:abstractNumId w:val="6"/>
  </w:num>
  <w:num w:numId="3" w16cid:durableId="437335940">
    <w:abstractNumId w:val="5"/>
  </w:num>
  <w:num w:numId="4" w16cid:durableId="43798510">
    <w:abstractNumId w:val="4"/>
  </w:num>
  <w:num w:numId="5" w16cid:durableId="1953122467">
    <w:abstractNumId w:val="7"/>
  </w:num>
  <w:num w:numId="6" w16cid:durableId="1638339096">
    <w:abstractNumId w:val="3"/>
  </w:num>
  <w:num w:numId="7" w16cid:durableId="1512179199">
    <w:abstractNumId w:val="2"/>
  </w:num>
  <w:num w:numId="8" w16cid:durableId="1904173463">
    <w:abstractNumId w:val="1"/>
  </w:num>
  <w:num w:numId="9" w16cid:durableId="51527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00D"/>
    <w:rsid w:val="0029639D"/>
    <w:rsid w:val="00326F90"/>
    <w:rsid w:val="003D6FFB"/>
    <w:rsid w:val="005151BD"/>
    <w:rsid w:val="00956C98"/>
    <w:rsid w:val="00AA1D8D"/>
    <w:rsid w:val="00B47730"/>
    <w:rsid w:val="00C12433"/>
    <w:rsid w:val="00CB0664"/>
    <w:rsid w:val="00D60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176FF"/>
  <w14:defaultImageDpi w14:val="300"/>
  <w15:docId w15:val="{0210F8C8-DBB3-467C-B253-D945F1EC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6"/>
      <w:jc w:val="both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1870</Words>
  <Characters>10100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Dilsonei Rigotti</cp:lastModifiedBy>
  <cp:revision>3</cp:revision>
  <dcterms:created xsi:type="dcterms:W3CDTF">2013-12-23T23:15:00Z</dcterms:created>
  <dcterms:modified xsi:type="dcterms:W3CDTF">2026-09-07T22:59:00Z</dcterms:modified>
  <cp:category/>
</cp:coreProperties>
</file>