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b/>
          <w:sz w:val="24"/>
        </w:rPr>
        <w:t>INSTITUTO FEDERAL DE SANTA CATARINA - IFSC</w:t>
        <w:br/>
      </w:r>
      <w:r>
        <w:t>PROGRAMA DE PÓS-GRADUAÇÃO EM ENGENHARIA ELÉTRICA</w:t>
        <w:br/>
        <w:t>MESTRADO PROFISSIONAL EM SISTEMAS DE ENERGIA</w:t>
      </w:r>
    </w:p>
    <w:p/>
    <w:p/>
    <w:p/>
    <w:p/>
    <w:p/>
    <w:p>
      <w:pPr>
        <w:ind w:firstLine="0"/>
        <w:jc w:val="center"/>
      </w:pPr>
      <w:r>
        <w:rPr>
          <w:b/>
          <w:sz w:val="24"/>
        </w:rPr>
        <w:t>ENG. DILSON EIJO RIGOTTI</w:t>
      </w:r>
    </w:p>
    <w:p/>
    <w:p/>
    <w:p/>
    <w:p/>
    <w:p/>
    <w:p>
      <w:pPr>
        <w:ind w:firstLine="0"/>
        <w:jc w:val="center"/>
      </w:pPr>
      <w:r>
        <w:rPr>
          <w:b/>
          <w:sz w:val="26"/>
        </w:rPr>
        <w:t>APLICAÇÃO DE INTELIGÊNCIA ARTIFICIAL E SÉRIES TEMPORAIS PARA APOIO À DECISÃO DE MIGRAÇÃO AO MERCADO LIVRE DE ENERGIA:</w:t>
        <w:br/>
        <w:t>UM ESTUDO DE CASO PARA CONSUMIDORES DO SUBGRUPO B3 COMERCIAL EM SANTA CATARINA</w:t>
      </w:r>
    </w:p>
    <w:p/>
    <w:p/>
    <w:p/>
    <w:p/>
    <w:p/>
    <w:p/>
    <w:p/>
    <w:p/>
    <w:p>
      <w:pPr>
        <w:spacing w:line="240" w:lineRule="auto"/>
        <w:ind w:firstLine="0"/>
        <w:jc w:val="center"/>
      </w:pPr>
      <w:r>
        <w:t>Florianópolis - SC</w:t>
        <w:br/>
        <w:t>2026</w:t>
      </w:r>
    </w:p>
    <w:p>
      <w:r>
        <w:br w:type="page"/>
      </w:r>
    </w:p>
    <w:p>
      <w:pPr>
        <w:ind w:firstLine="0"/>
        <w:jc w:val="center"/>
      </w:pPr>
      <w:r>
        <w:rPr>
          <w:b/>
        </w:rPr>
        <w:t>ENG. DILSON EIJO RIGOTTI</w:t>
      </w:r>
    </w:p>
    <w:p/>
    <w:p/>
    <w:p/>
    <w:p/>
    <w:p>
      <w:pPr>
        <w:ind w:firstLine="0"/>
        <w:jc w:val="center"/>
      </w:pPr>
      <w:r>
        <w:rPr>
          <w:b/>
        </w:rPr>
        <w:t>APLICAÇÃO DE INTELIGÊNCIA ARTIFICIAL E SÉRIES TEMPORAIS PARA APOIO À DECISÃO DE MIGRAÇÃO AO MERCADO LIVRE DE ENERGIA:</w:t>
        <w:br/>
        <w:t>UM ESTUDO DE CASO PARA CONSUMIDORES DO SUBGRUPO B3 COMERCIAL EM SANTA CATARINA</w:t>
      </w:r>
    </w:p>
    <w:p/>
    <w:p/>
    <w:p/>
    <w:p>
      <w:pPr>
        <w:spacing w:line="240" w:lineRule="auto"/>
        <w:ind w:left="4536" w:firstLine="0"/>
        <w:jc w:val="both"/>
      </w:pPr>
      <w:r>
        <w:rPr>
          <w:sz w:val="20"/>
        </w:rPr>
        <w:t>Relatório técnico-científico desenvolvido no âmbito da disciplina de Técnicas de Inteligência Artificial Aplicadas a Sistemas de Energia do Programa de Mestrado Profissional do Instituto Federal de Santa Catarina (IFSC). O trabalho aborda a experiência prática completa de engenharia de dados, modelagem preditiva e reavaliação de algoritmos de IA focados no Subgrupo B3 Comercial (Lei 15.269/2025), utilizando assistentes de IA Generativa no desenvolvimento computacional.</w:t>
      </w:r>
    </w:p>
    <w:p/>
    <w:p/>
    <w:p/>
    <w:p/>
    <w:p/>
    <w:p>
      <w:pPr>
        <w:spacing w:line="240" w:lineRule="auto"/>
        <w:ind w:firstLine="0"/>
        <w:jc w:val="center"/>
      </w:pPr>
      <w:r>
        <w:t>Florianópolis - SC</w:t>
        <w:br/>
        <w:t>2026</w:t>
      </w:r>
    </w:p>
    <w:p>
      <w:r>
        <w:br w:type="page"/>
      </w:r>
    </w:p>
    <w:p>
      <w:pPr>
        <w:ind w:firstLine="0"/>
        <w:jc w:val="center"/>
      </w:pPr>
      <w:r>
        <w:rPr>
          <w:b/>
        </w:rPr>
        <w:t>RESUMO</w:t>
      </w:r>
    </w:p>
    <w:p>
      <w:pPr>
        <w:spacing w:line="240" w:lineRule="auto"/>
        <w:ind w:firstLine="0"/>
      </w:pPr>
      <w:r>
        <w:t>Este relatório apresenta o desenvolvimento e a reavaliação de modelos preditivos baseados em Inteligência Artificial e Séries Temporais focados especificamente no Subgrupo B3 (Comercial / Baixa Tensão) em Santa Catarina. O estudo insere-se na avaliação da disciplina de Técnicas de IA Aplicadas a Sistemas de Energia do Mestrado Profissional do IFSC e responde ao marco regulatório estabelecido pela Lei nº 15.269/2025, que determina a abertura do Mercado Livre para o segmento comercial em novembro de 2027. Utilizando a base histórica de 387 meses contínuos (1994 a 2026) da CELESC Distribuição S.A., realizou-se a decomposição estatística via STL e o treinamento comparativo de algoritmos preditivos (SARIMAX, Holt-Winters e HistGradientBoosting Machine Learning). A reavaliação de desempenho demonstrou que o modelo de Aprendizado de Máquina (HistGradientBoosting) é o mais adequado para o Subgrupo B3 Comercial, alcançando um Erro Percentual Absoluto Médio (MAPE) de apenas 7,46% na janela de teste (27 meses), superando significativamente os modelos lineares autorregressivos (MAPE de 19,45%). Na elaboração deste projeto, o estudante de mestrado utilizou assistentes de IA Generativa para apoio no pipeline em Python e documentação, mantendo o controle técnico da análise de engenharia.</w:t>
      </w:r>
    </w:p>
    <w:p>
      <w:pPr>
        <w:spacing w:line="240" w:lineRule="auto"/>
        <w:ind w:firstLine="0"/>
      </w:pPr>
      <w:r>
        <w:rPr>
          <w:b/>
        </w:rPr>
        <w:br/>
        <w:t xml:space="preserve">Palavras-chave: </w:t>
      </w:r>
      <w:r>
        <w:t>Mercado Livre de Energia. Subgrupo B3 Comercial. Gradient Boosting. Séries Temporais. Lei 15.269/2025. IFSC.</w:t>
      </w:r>
    </w:p>
    <w:p>
      <w:r>
        <w:br w:type="page"/>
      </w:r>
    </w:p>
    <w:p>
      <w:pPr>
        <w:spacing w:before="360" w:after="120"/>
        <w:ind w:firstLine="0"/>
      </w:pPr>
      <w:r>
        <w:rPr>
          <w:b/>
          <w:sz w:val="24"/>
        </w:rPr>
        <w:t>1. FORMULAÇÃO DO PROBLEMA E FOCO NO SUBGRUPO B3 COMERCIAL</w:t>
      </w:r>
    </w:p>
    <w:p>
      <w:r>
        <w:t>No contexto da disciplina de Técnicas de IA Aplicadas a Sistemas de Energia do Mestrado Profissional do IFSC, a proposta de trabalho prático consiste na experiência completa de engenharia de dados: formular um problema real do setor elétrico, reunir e estruturar uma base de dados representativa, aplicar bibliotecas de aprendizado e discutir criticamente os resultados sob o ponto de vista de aplicação no mercado.</w:t>
      </w:r>
    </w:p>
    <w:p>
      <w:r>
        <w:t xml:space="preserve">Esta etapa do relatório concentra a análise e a modelagem preditiva especificamente no </w:t>
      </w:r>
      <w:r>
        <w:rPr>
          <w:b/>
        </w:rPr>
        <w:t>Subgrupo B3 (Comercial / Baixa Tensão)</w:t>
      </w:r>
      <w:r>
        <w:t xml:space="preserve"> no Estado de Santa Catarina. O foco justifica-se pelo cronograma regulatório estabelecido pela </w:t>
      </w:r>
      <w:r>
        <w:rPr>
          <w:b/>
        </w:rPr>
        <w:t>Lei nº 15.269/2025</w:t>
      </w:r>
      <w:r>
        <w:t xml:space="preserve">, que determinou que o segmento comercial e industrial de baixa tensão (B3) será o </w:t>
      </w:r>
      <w:r>
        <w:rPr>
          <w:b/>
        </w:rPr>
        <w:t>primeiro grupo a ingressar no Ambiente de Contratação Livre (ACL) em Novembro de 2027</w:t>
      </w:r>
      <w:r>
        <w:t>, antecedendo a migração residencial (prevista para novembro de 2028).</w:t>
      </w:r>
    </w:p>
    <w:p>
      <w:pPr>
        <w:spacing w:before="360" w:after="120"/>
        <w:ind w:firstLine="0"/>
      </w:pPr>
      <w:r>
        <w:rPr>
          <w:b/>
          <w:sz w:val="24"/>
        </w:rPr>
        <w:t>2. DECOMPOSTO E ESTRUTURAÇÃO DOS DADOS DO B3 (1994-2026)</w:t>
      </w:r>
    </w:p>
    <w:p>
      <w:r>
        <w:t>A base de dados da CELESC Distribuição S.A. (1994-2026, contendo 387 meses consecutivos) foi filtrada exclusivamente para a classe comercial do ambiente cativo. A decomposição STL (Seasonal-Trend decomposition using LOESS) revelou que a demanda comercial de SC possui uma Força de Tendência (FT) de 0,9758 e uma Força de Sazonalidade (FS) de 0,8252, evidenciando crescimento estrutural expressivo acumulado nas últimas três décadas.</w:t>
      </w:r>
    </w:p>
    <w:p>
      <w:pPr>
        <w:spacing w:line="240" w:lineRule="auto"/>
        <w:ind w:firstLine="0"/>
        <w:jc w:val="center"/>
      </w:pPr>
      <w:r>
        <w:rPr>
          <w:sz w:val="20"/>
        </w:rPr>
        <w:t>Figura 1 – Decomposição STL da Série Temporal do Subgrupo B3 Comercial em SC (1994-2026)</w:t>
        <w:br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094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l_decomposicao_b3_comer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sz w:val="20"/>
        </w:rPr>
        <w:t>Fonte: Elaborado pelo autor com dados da CELESC via statsmodels (2026).</w:t>
      </w:r>
    </w:p>
    <w:p>
      <w:pPr>
        <w:spacing w:before="360" w:after="120"/>
        <w:ind w:firstLine="0"/>
      </w:pPr>
      <w:r>
        <w:rPr>
          <w:b/>
          <w:sz w:val="24"/>
        </w:rPr>
        <w:t>3. REAVALIAÇÃO E MODELAGEM PREDITIVA PARA O SUBGRUPO B3</w:t>
      </w:r>
    </w:p>
    <w:p>
      <w:r>
        <w:t>Foram treinados e comparados três modelos preditivos na janela de teste fora da amostra de 27 meses (janeiro de 2024 a março de 2026):</w:t>
        <w:br/>
      </w:r>
      <w:r>
        <w:t>1) SARIMAX(1,1,1)x(1,1,1)12: Modelo estatístico autorregressivo sazonal;</w:t>
        <w:br/>
      </w:r>
      <w:r>
        <w:t>2) Holt-Winters Sazonal: Modelo de suavização exponencial aditiva;</w:t>
        <w:br/>
      </w:r>
      <w:r>
        <w:t>3) HistGradientBoosting (Machine Learning): Algoritmo de aprendizado baseado em árvores de decisão alimentado com 12 variáveis de defasagem (lags) e codificadores temporais.</w:t>
      </w:r>
    </w:p>
    <w:p>
      <w:r>
        <w:t>A Tabela 1 apresenta o comparativo de desempenho preditivo obtido especificamente para o Subgrupo B3 Comercial.</w:t>
      </w:r>
    </w:p>
    <w:p>
      <w:pPr>
        <w:ind w:firstLine="0"/>
        <w:jc w:val="center"/>
      </w:pPr>
      <w:r>
        <w:rPr>
          <w:sz w:val="20"/>
        </w:rPr>
        <w:t>Tabela 1 – Avaliação Comparativa dos Modelos no Subgrupo B3 Comercial (Teste 2024-2026)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20"/>
              </w:rPr>
              <w:t>Modelo de IA / Estatístico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20"/>
              </w:rPr>
              <w:t>RMSE (MWh)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20"/>
              </w:rPr>
              <w:t>MAE (MWh)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b/>
                <w:sz w:val="20"/>
              </w:rPr>
              <w:t>MAPE (%)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left"/>
            </w:pPr>
            <w:r>
              <w:rPr>
                <w:sz w:val="20"/>
              </w:rPr>
              <w:t>HistGradientBoosting (Machine Learning)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20"/>
              </w:rPr>
              <w:t>22.544,41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20"/>
              </w:rPr>
              <w:t>19.920,69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20"/>
              </w:rPr>
              <w:t>7,46% (Campeão)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left"/>
            </w:pPr>
            <w:r>
              <w:rPr>
                <w:sz w:val="20"/>
              </w:rPr>
              <w:t>Holt-Winters Sazonal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20"/>
              </w:rPr>
              <w:t>53.820,64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20"/>
              </w:rPr>
              <w:t>47.917,99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20"/>
              </w:rPr>
              <w:t>18,53%</w:t>
            </w:r>
          </w:p>
        </w:tc>
      </w:tr>
      <w:tr>
        <w:tc>
          <w:tcPr>
            <w:tcW w:type="dxa" w:w="2351"/>
          </w:tcPr>
          <w:p>
            <w:pPr>
              <w:ind w:firstLine="0"/>
              <w:jc w:val="left"/>
            </w:pPr>
            <w:r>
              <w:rPr>
                <w:sz w:val="20"/>
              </w:rPr>
              <w:t>SARIMAX (1,1,1)x(1,1,1)12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20"/>
              </w:rPr>
              <w:t>55.389,37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20"/>
              </w:rPr>
              <w:t>49.864,36</w:t>
            </w:r>
          </w:p>
        </w:tc>
        <w:tc>
          <w:tcPr>
            <w:tcW w:type="dxa" w:w="2351"/>
          </w:tcPr>
          <w:p>
            <w:pPr>
              <w:ind w:firstLine="0"/>
              <w:jc w:val="center"/>
            </w:pPr>
            <w:r>
              <w:rPr>
                <w:sz w:val="20"/>
              </w:rPr>
              <w:t>19,45%</w:t>
            </w:r>
          </w:p>
        </w:tc>
      </w:tr>
    </w:tbl>
    <w:p>
      <w:pPr>
        <w:ind w:firstLine="0"/>
        <w:jc w:val="center"/>
      </w:pPr>
      <w:r>
        <w:rPr>
          <w:sz w:val="20"/>
        </w:rPr>
        <w:t>Fonte: Elaborado pelo autor (2026).</w:t>
      </w:r>
    </w:p>
    <w:p>
      <w:pPr>
        <w:spacing w:before="240" w:after="120"/>
        <w:ind w:firstLine="0"/>
      </w:pPr>
      <w:r>
        <w:rPr>
          <w:b/>
          <w:sz w:val="24"/>
        </w:rPr>
        <w:t>3.1 Discussão do Modelo Vencedor para o Comercial</w:t>
      </w:r>
    </w:p>
    <w:p>
      <w:r>
        <w:t xml:space="preserve">A reavaliação revelou um resultado fundamental: </w:t>
      </w:r>
      <w:r>
        <w:rPr>
          <w:b/>
        </w:rPr>
        <w:t>o modelo de Machine Learning (HistGradientBoosting) é significativamente mais adequado para o Subgrupo B3 Comercial do que o modelo SARIMAX</w:t>
      </w:r>
      <w:r>
        <w:t xml:space="preserve">. Enquanto o SARIMAX apresentou um erro de 19,45% no segmento comercial, o algoritmo de Gradient Boosting reduziu o erro percentual para apenas </w:t>
      </w:r>
      <w:r>
        <w:rPr>
          <w:b/>
        </w:rPr>
        <w:t>7,46%</w:t>
      </w:r>
      <w:r>
        <w:t>. Essa diferença decorre do fato de o consumo comercial urbano possuir alterações estruturais não lineares (expansão do comércio regional e varejo) que as árvores de decisão impulsionadas capturam com muito maior eficácia do que modelos lineares autorregressivos.</w:t>
      </w:r>
    </w:p>
    <w:p>
      <w:pPr>
        <w:spacing w:line="240" w:lineRule="auto"/>
        <w:ind w:firstLine="0"/>
        <w:jc w:val="center"/>
      </w:pPr>
      <w:r>
        <w:rPr>
          <w:sz w:val="20"/>
        </w:rPr>
        <w:t>Figura 2 – Projeção Preditiva de Demanda (MWh) do Subgrupo B3 Comercial e Marco de Nov/2027</w:t>
        <w:br/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jecao_b3_comercial_20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0"/>
        <w:jc w:val="center"/>
      </w:pPr>
      <w:r>
        <w:rPr>
          <w:sz w:val="20"/>
        </w:rPr>
        <w:t>Fonte: Elaborado pelo autor com o modelo Gradient Boosting (2026).</w:t>
      </w:r>
    </w:p>
    <w:p>
      <w:pPr>
        <w:spacing w:before="360" w:after="120"/>
        <w:ind w:firstLine="0"/>
      </w:pPr>
      <w:r>
        <w:rPr>
          <w:b/>
          <w:sz w:val="24"/>
        </w:rPr>
        <w:t>4. CONCLUSÕES E APLICABILIDADE NO MERCADO LIVRE B3</w:t>
      </w:r>
    </w:p>
    <w:p>
      <w:r>
        <w:t>A reavaliação focada no Subgrupo B3 Comercial permitiu concluir que:</w:t>
        <w:br/>
      </w:r>
      <w:r>
        <w:t>1) A escolha do modelo preditivo depende diretamente do segmento analisado. Para o B3 Comercial, algoritmos de Machine Learning (Gradient Boosting) obtiveram acurácia superior (MAPE de 7,46%);</w:t>
        <w:br/>
      </w:r>
      <w:r>
        <w:t>2) As comercializadoras que pretendem ofertar contratos no Mercado Livre para o segmento B3 a partir de Novembro de 2027 dispõem de uma ferramenta preditiva com alta precisão para dimensionar o volume de contratação de suprimento em Santa Catarina;</w:t>
        <w:br/>
      </w:r>
      <w:r>
        <w:t>3) Todos os códigos e análises foram encapsulados no Notebook 03 (03_modelagem_preditiva_grupo_b3_comercial.ipynb), garantindo total reprodutibilidade acadêmica.</w:t>
      </w:r>
    </w:p>
    <w:p>
      <w:pPr>
        <w:spacing w:before="360" w:after="120"/>
        <w:ind w:firstLine="0"/>
      </w:pPr>
      <w:r>
        <w:rPr>
          <w:b/>
          <w:sz w:val="24"/>
        </w:rPr>
        <w:t>REFERÊNCIAS</w:t>
      </w:r>
    </w:p>
    <w:p>
      <w:pPr>
        <w:spacing w:line="240" w:lineRule="auto" w:after="120"/>
        <w:ind w:firstLine="0"/>
      </w:pPr>
      <w:r>
        <w:rPr>
          <w:sz w:val="20"/>
        </w:rPr>
        <w:t>ANEEL. Sistema de Acompanhamento do Mercado de Distribuição de Energia Elétrica (SAMP). Agência Nacional de Energia Elétrica. Disponível em: &lt;https://dadosabertos.aneel.gov.br/&gt;. Acesso em: 2026.</w:t>
      </w:r>
    </w:p>
    <w:p>
      <w:pPr>
        <w:spacing w:line="240" w:lineRule="auto" w:after="120"/>
        <w:ind w:firstLine="0"/>
      </w:pPr>
      <w:r>
        <w:rPr>
          <w:sz w:val="20"/>
        </w:rPr>
        <w:t>BRASIL. Lei nº 15.269, de 2025. Altera a legislação do setor elétrico para a expansão do mercado livre de energia a consumidores de baixa tensão. Brasília, DF, 2025.</w:t>
      </w:r>
    </w:p>
    <w:p>
      <w:pPr>
        <w:spacing w:line="240" w:lineRule="auto" w:after="120"/>
        <w:ind w:firstLine="0"/>
      </w:pPr>
      <w:r>
        <w:rPr>
          <w:sz w:val="20"/>
        </w:rPr>
        <w:t>CELESC DISTRIBUIÇÃO S.A. Dados Históricos de Vendas de Energia por Município (1994-2026). Florianópolis, SC, 2026.</w:t>
      </w:r>
    </w:p>
    <w:p>
      <w:pPr>
        <w:spacing w:line="240" w:lineRule="auto" w:after="120"/>
        <w:ind w:firstLine="0"/>
      </w:pPr>
      <w:r>
        <w:rPr>
          <w:sz w:val="20"/>
        </w:rPr>
        <w:t>GOLDBERG, D. E. Genetic Algorithms in Search, Optimization, and Machine Learning. New York: Addison-Wesley, 1989.</w:t>
      </w:r>
    </w:p>
    <w:p>
      <w:pPr>
        <w:spacing w:line="240" w:lineRule="auto" w:after="120"/>
        <w:ind w:firstLine="0"/>
      </w:pPr>
      <w:r>
        <w:rPr>
          <w:sz w:val="20"/>
        </w:rPr>
        <w:t>HAYKIN, S. Redes Neurais: Princípios e Práticas. 2ª ed. Porto Alegre: Artmed Editora, 2002.</w:t>
      </w:r>
    </w:p>
    <w:p>
      <w:pPr>
        <w:spacing w:line="240" w:lineRule="auto" w:after="120"/>
        <w:ind w:firstLine="0"/>
      </w:pPr>
      <w:r>
        <w:rPr>
          <w:sz w:val="20"/>
        </w:rPr>
        <w:t>HYNDMAN, R. J.; ATHANASOPOULOS, G. Forecasting: principles and practice. 3rd ed. Melbourne: OTexts, 2021.</w:t>
      </w:r>
    </w:p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6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