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F5317" w14:textId="5ED509DA" w:rsidR="003E4331" w:rsidRDefault="00000000">
      <w:pPr>
        <w:spacing w:after="60"/>
        <w:jc w:val="center"/>
      </w:pPr>
      <w:r>
        <w:rPr>
          <w:b/>
          <w:bCs/>
          <w:sz w:val="32"/>
          <w:szCs w:val="32"/>
        </w:rPr>
        <w:t>Análise de Dados com Uso de Inteligência Artificial como Ferramenta de Apoio à Migração de Consumidores do Subgrupo B3 para o Mercado Livre de Energia</w:t>
      </w:r>
      <w:r w:rsidR="006920AE">
        <w:rPr>
          <w:b/>
          <w:bCs/>
          <w:sz w:val="32"/>
          <w:szCs w:val="32"/>
        </w:rPr>
        <w:t xml:space="preserve"> </w:t>
      </w:r>
    </w:p>
    <w:p w14:paraId="0CD36E67" w14:textId="2044BBF9" w:rsidR="003E4331" w:rsidRDefault="00000000">
      <w:pPr>
        <w:spacing w:before="160" w:after="20"/>
        <w:jc w:val="center"/>
      </w:pPr>
      <w:r>
        <w:rPr>
          <w:sz w:val="22"/>
          <w:szCs w:val="22"/>
        </w:rPr>
        <w:t>Dilsonei José Rigotti</w:t>
      </w:r>
      <w:r w:rsidR="006920AE">
        <w:rPr>
          <w:sz w:val="22"/>
          <w:szCs w:val="22"/>
        </w:rPr>
        <w:t xml:space="preserve"> - </w:t>
      </w:r>
      <w:r w:rsidR="006920AE">
        <w:rPr>
          <w:i/>
          <w:iCs/>
          <w:sz w:val="19"/>
          <w:szCs w:val="19"/>
        </w:rPr>
        <w:t>Matrícula: 202615000009</w:t>
      </w:r>
    </w:p>
    <w:p w14:paraId="263F1F1D" w14:textId="77777777" w:rsidR="003E4331" w:rsidRDefault="00000000">
      <w:pPr>
        <w:jc w:val="center"/>
      </w:pPr>
      <w:r>
        <w:rPr>
          <w:i/>
          <w:iCs/>
          <w:sz w:val="19"/>
          <w:szCs w:val="19"/>
        </w:rPr>
        <w:t>Mestrado Profissional em Sistemas de Energia Elétrica (MPSEE)</w:t>
      </w:r>
    </w:p>
    <w:p w14:paraId="5E997021" w14:textId="6E21B954" w:rsidR="003E4331" w:rsidRDefault="00000000">
      <w:pPr>
        <w:jc w:val="center"/>
      </w:pPr>
      <w:r>
        <w:rPr>
          <w:i/>
          <w:iCs/>
          <w:sz w:val="19"/>
          <w:szCs w:val="19"/>
        </w:rPr>
        <w:t xml:space="preserve">Instituto Federal de Santa Catarina (IFSC) </w:t>
      </w:r>
      <w:r w:rsidR="006920AE">
        <w:rPr>
          <w:i/>
          <w:iCs/>
          <w:sz w:val="19"/>
          <w:szCs w:val="19"/>
        </w:rPr>
        <w:t>-</w:t>
      </w:r>
      <w:r>
        <w:rPr>
          <w:i/>
          <w:iCs/>
          <w:sz w:val="19"/>
          <w:szCs w:val="19"/>
        </w:rPr>
        <w:t xml:space="preserve"> Câmpus Florianópolis, Brasil</w:t>
      </w:r>
    </w:p>
    <w:p w14:paraId="3F6F7E9A" w14:textId="2345F4EC" w:rsidR="003E4331" w:rsidRDefault="00000000">
      <w:pPr>
        <w:jc w:val="center"/>
      </w:pPr>
      <w:r>
        <w:rPr>
          <w:i/>
          <w:iCs/>
          <w:sz w:val="19"/>
          <w:szCs w:val="19"/>
        </w:rPr>
        <w:t xml:space="preserve">Disciplina IAA68303 </w:t>
      </w:r>
      <w:r w:rsidR="006920AE">
        <w:rPr>
          <w:i/>
          <w:iCs/>
          <w:sz w:val="19"/>
          <w:szCs w:val="19"/>
        </w:rPr>
        <w:t>-</w:t>
      </w:r>
      <w:r>
        <w:rPr>
          <w:i/>
          <w:iCs/>
          <w:sz w:val="19"/>
          <w:szCs w:val="19"/>
        </w:rPr>
        <w:t xml:space="preserve"> Técnicas de Inteligência Artificial Aplicadas a Sistemas de Energia (2026.3 – T01)</w:t>
      </w:r>
    </w:p>
    <w:p w14:paraId="3358A0E7" w14:textId="3C201E3F" w:rsidR="003E4331" w:rsidRDefault="00000000">
      <w:pPr>
        <w:spacing w:after="240"/>
        <w:jc w:val="center"/>
      </w:pPr>
      <w:r>
        <w:rPr>
          <w:i/>
          <w:iCs/>
          <w:sz w:val="19"/>
          <w:szCs w:val="19"/>
        </w:rPr>
        <w:t>Professor: Sérgio Luciano Ávila</w:t>
      </w:r>
    </w:p>
    <w:p w14:paraId="6A219847" w14:textId="05B9F36D" w:rsidR="003E4331" w:rsidRDefault="00000000">
      <w:pPr>
        <w:spacing w:after="120" w:line="252" w:lineRule="auto"/>
        <w:jc w:val="both"/>
      </w:pPr>
      <w:r>
        <w:rPr>
          <w:b/>
          <w:bCs/>
          <w:i/>
          <w:iCs/>
          <w:sz w:val="19"/>
          <w:szCs w:val="19"/>
        </w:rPr>
        <w:t xml:space="preserve">Resumo </w:t>
      </w:r>
      <w:r w:rsidR="006920AE">
        <w:rPr>
          <w:b/>
          <w:bCs/>
          <w:i/>
          <w:iCs/>
          <w:sz w:val="19"/>
          <w:szCs w:val="19"/>
        </w:rPr>
        <w:t>-</w:t>
      </w:r>
      <w:r>
        <w:rPr>
          <w:b/>
          <w:bCs/>
          <w:i/>
          <w:iCs/>
          <w:sz w:val="19"/>
          <w:szCs w:val="19"/>
        </w:rPr>
        <w:t xml:space="preserve"> </w:t>
      </w:r>
      <w:r>
        <w:rPr>
          <w:sz w:val="19"/>
          <w:szCs w:val="19"/>
        </w:rPr>
        <w:t xml:space="preserve">Este trabalho documenta uma análise de dados aplicada ao setor elétrico, a partir de dados públicos de consumo (CELESC), tarifas homologadas (ANEEL) e preço de liquidação de diferenças (CCEE), com o objetivo de investigar oportunidades e riscos associados à migração de consumidores do Subgrupo B3 (baixa tensão comercial) para o Ambiente de Contratação Livre (ACL), prevista pela Lei nº 15.269/2025 a partir de novembro de 2027. O trabalho aplica técnicas de tratamento e saneamento de dados, decomposição de série temporal (STL) e modelos preditivos de séries temporais </w:t>
      </w:r>
      <w:r w:rsidR="006920AE">
        <w:rPr>
          <w:sz w:val="19"/>
          <w:szCs w:val="19"/>
        </w:rPr>
        <w:t>-</w:t>
      </w:r>
      <w:r>
        <w:rPr>
          <w:sz w:val="19"/>
          <w:szCs w:val="19"/>
        </w:rPr>
        <w:t xml:space="preserve"> suavização exponencial de Holt-Winters e uma rede neural recorrente LSTM (</w:t>
      </w:r>
      <w:proofErr w:type="spellStart"/>
      <w:r>
        <w:rPr>
          <w:sz w:val="19"/>
          <w:szCs w:val="19"/>
        </w:rPr>
        <w:t>TensorFlow</w:t>
      </w:r>
      <w:proofErr w:type="spellEnd"/>
      <w:r>
        <w:rPr>
          <w:sz w:val="19"/>
          <w:szCs w:val="19"/>
        </w:rPr>
        <w:t>/</w:t>
      </w:r>
      <w:proofErr w:type="spellStart"/>
      <w:r>
        <w:rPr>
          <w:sz w:val="19"/>
          <w:szCs w:val="19"/>
        </w:rPr>
        <w:t>Keras</w:t>
      </w:r>
      <w:proofErr w:type="spellEnd"/>
      <w:r>
        <w:rPr>
          <w:sz w:val="19"/>
          <w:szCs w:val="19"/>
        </w:rPr>
        <w:t xml:space="preserve">) </w:t>
      </w:r>
      <w:r w:rsidR="006920AE">
        <w:rPr>
          <w:sz w:val="19"/>
          <w:szCs w:val="19"/>
        </w:rPr>
        <w:t>-</w:t>
      </w:r>
      <w:r>
        <w:rPr>
          <w:sz w:val="19"/>
          <w:szCs w:val="19"/>
        </w:rPr>
        <w:t xml:space="preserve"> para projetar o consumo até 2030, e integra essa projeção a uma simulação financeira comparando o custo do consumidor no ambiente cativo e no mercado livre. Os resultados indicam uma economia média projetada de 25,2% no cenário Livre frente ao Cativo, mas a análise identifica limitações relevantes do modelo, sobretudo a subestimação do risco hidrológico e da volatilidade do PLD observada historicamente, que tornam esse resultado um limite otimista, não uma previsão determinística.</w:t>
      </w:r>
    </w:p>
    <w:p w14:paraId="25DBDE3F" w14:textId="58D734E2" w:rsidR="003E4331" w:rsidRDefault="00000000">
      <w:pPr>
        <w:spacing w:after="260" w:line="252" w:lineRule="auto"/>
        <w:jc w:val="both"/>
      </w:pPr>
      <w:r>
        <w:rPr>
          <w:b/>
          <w:bCs/>
          <w:i/>
          <w:iCs/>
          <w:sz w:val="19"/>
          <w:szCs w:val="19"/>
        </w:rPr>
        <w:t xml:space="preserve">Palavras-chave </w:t>
      </w:r>
      <w:r w:rsidR="006920AE">
        <w:rPr>
          <w:b/>
          <w:bCs/>
          <w:i/>
          <w:iCs/>
          <w:sz w:val="19"/>
          <w:szCs w:val="19"/>
        </w:rPr>
        <w:t>-</w:t>
      </w:r>
      <w:r>
        <w:rPr>
          <w:b/>
          <w:bCs/>
          <w:i/>
          <w:iCs/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>Inteligência Artificial; séries temporais; LSTM; mercado livre de energia; Subgrupo B3; ACL; CELESC.</w:t>
      </w:r>
    </w:p>
    <w:p w14:paraId="7EE9D36D" w14:textId="77777777" w:rsidR="003E4331" w:rsidRDefault="003E4331">
      <w:pPr>
        <w:sectPr w:rsidR="003E4331">
          <w:footerReference w:type="default" r:id="rId7"/>
          <w:pgSz w:w="12240" w:h="15840"/>
          <w:pgMar w:top="1296" w:right="1008" w:bottom="1440" w:left="1008" w:header="708" w:footer="708" w:gutter="0"/>
          <w:cols w:space="720"/>
          <w:docGrid w:linePitch="360"/>
        </w:sectPr>
      </w:pPr>
    </w:p>
    <w:p w14:paraId="6B60F3CE" w14:textId="77777777" w:rsidR="003E4331" w:rsidRDefault="00000000">
      <w:pPr>
        <w:keepNext/>
        <w:spacing w:before="260" w:after="140"/>
        <w:jc w:val="center"/>
      </w:pPr>
      <w:r>
        <w:rPr>
          <w:b/>
          <w:bCs/>
          <w:caps/>
        </w:rPr>
        <w:t>I. Introdução</w:t>
      </w:r>
    </w:p>
    <w:p w14:paraId="017625BE" w14:textId="77777777" w:rsidR="003E4331" w:rsidRDefault="00000000">
      <w:pPr>
        <w:spacing w:after="120" w:line="264" w:lineRule="auto"/>
        <w:ind w:firstLine="288"/>
        <w:jc w:val="both"/>
      </w:pPr>
      <w:r>
        <w:t>O desafio lançado para este trabalho é o de trazer um problema ligado a sistemas de energia com dados públicos disponíveis, efetuar a manipulação desses dados utilizando como suporte ferramentas de Inteligência Artificial (IA), realizar análises e buscar resultados.</w:t>
      </w:r>
    </w:p>
    <w:p w14:paraId="2C929FE6" w14:textId="77777777" w:rsidR="003E4331" w:rsidRDefault="00000000">
      <w:pPr>
        <w:spacing w:after="120" w:line="264" w:lineRule="auto"/>
        <w:ind w:firstLine="288"/>
        <w:jc w:val="both"/>
      </w:pPr>
      <w:r>
        <w:t>Este projeto documenta uma análise de dados a partir de dados brutos obtidos em sites públicos (CELESC, ANEEL, CCEE), com a aplicação de tratamento e modelagem preditiva, trazendo uma simulação comparativa da classe comercial cativo descrita nos dados CELESC com informações da ANEEL e da CCEE, com o intuito de verificar oportunidades de migração do Subgrupo B3 ao Ambiente de Contratação Livre (ACL) de energia elétrica.</w:t>
      </w:r>
    </w:p>
    <w:p w14:paraId="100D050A" w14:textId="77777777" w:rsidR="003E4331" w:rsidRDefault="00000000">
      <w:pPr>
        <w:spacing w:after="120" w:line="264" w:lineRule="auto"/>
        <w:ind w:firstLine="288"/>
        <w:jc w:val="both"/>
      </w:pPr>
      <w:r>
        <w:t xml:space="preserve">Conforme explicado em sala de aula, o objetivo deste trabalho, antes de ser uma busca original e complexa por resultados, é o de estabelecer um entendimento sobre o esforço necessário para se trabalhar com dados, efetuar simulações, comparar indicadores e propor cenários, considerando o uso de arquiteturas de redes neurais (como o LSTM) em bibliotecas existentes (caso do </w:t>
      </w:r>
      <w:proofErr w:type="spellStart"/>
      <w:r>
        <w:t>TensorFlow</w:t>
      </w:r>
      <w:proofErr w:type="spellEnd"/>
      <w:r>
        <w:t>), desenvolvidas para criar, treinar e implantar modelos de Aprendizado de Máquina (Machine Learning) e Redes Neurais Profundas (</w:t>
      </w:r>
      <w:proofErr w:type="spellStart"/>
      <w:r>
        <w:t>Deep</w:t>
      </w:r>
      <w:proofErr w:type="spellEnd"/>
      <w:r>
        <w:t xml:space="preserve"> Learning).</w:t>
      </w:r>
    </w:p>
    <w:p w14:paraId="5E86FE60" w14:textId="77777777" w:rsidR="003E4331" w:rsidRDefault="00000000">
      <w:pPr>
        <w:spacing w:after="120" w:line="264" w:lineRule="auto"/>
        <w:ind w:firstLine="288"/>
        <w:jc w:val="both"/>
      </w:pPr>
      <w:r>
        <w:t>A pergunta-problema deve encontrar as ferramentas corretas para sua resolução, considerando o seguinte contexto regulatório e técnico:</w:t>
      </w:r>
    </w:p>
    <w:p w14:paraId="7BD991BC" w14:textId="77777777" w:rsidR="003E4331" w:rsidRDefault="00000000">
      <w:pPr>
        <w:spacing w:after="80" w:line="264" w:lineRule="auto"/>
        <w:ind w:left="504" w:hanging="215"/>
        <w:jc w:val="both"/>
      </w:pPr>
      <w:r>
        <w:t>•  A partir de novembro de 2005 o Ambiente de Contratação Livre (ACL) da Câmara de Comercialização de Energia Elétrica (CCEE) começou a operar para grandes consumidores industriais/comerciais de alta tensão.</w:t>
      </w:r>
    </w:p>
    <w:p w14:paraId="64B8CE2F" w14:textId="77777777" w:rsidR="003E4331" w:rsidRDefault="00000000">
      <w:pPr>
        <w:spacing w:after="80" w:line="264" w:lineRule="auto"/>
        <w:ind w:left="504" w:hanging="215"/>
        <w:jc w:val="both"/>
      </w:pPr>
      <w:r>
        <w:t>•  Desde janeiro de 2024, todo o Grupo A (média/alta tensão) pode migrar para o mercado livre, independentemente da demanda contratada, via Portaria MME nº 50/2022.</w:t>
      </w:r>
    </w:p>
    <w:p w14:paraId="20CAC8B4" w14:textId="77777777" w:rsidR="003E4331" w:rsidRDefault="00000000">
      <w:pPr>
        <w:spacing w:after="80" w:line="264" w:lineRule="auto"/>
        <w:ind w:left="504" w:hanging="215"/>
        <w:jc w:val="both"/>
      </w:pPr>
      <w:r>
        <w:t>•  Marco Regulatório (Lei nº 15.269/2025): estabelece um cronograma de abertura do ACL para consumidores atendidos em baixa tensão (hoje cativos), prevendo novembro de 2027 para consumidores comerciais e industriais de baixa tensão (Subgrupo B3), e novembro de 2028 para os demais consumidores de baixa tensão, incluindo as classes residencial (B1) e rural (B2).</w:t>
      </w:r>
    </w:p>
    <w:p w14:paraId="1E825CE3" w14:textId="77777777" w:rsidR="003E4331" w:rsidRDefault="00000000">
      <w:pPr>
        <w:spacing w:after="80" w:line="264" w:lineRule="auto"/>
        <w:ind w:left="504" w:hanging="215"/>
        <w:jc w:val="both"/>
      </w:pPr>
      <w:r>
        <w:t>•  Comportamento altamente variável: o consumo do Grupo B envolve a agregação de pequenas unidades consumidoras, com forte sensibilidade a fatores climáticos (como o calor do verão e o uso de climatização) e a dinâmicas socioeconômicas complexas.</w:t>
      </w:r>
    </w:p>
    <w:p w14:paraId="0A322C7C" w14:textId="77777777" w:rsidR="003E4331" w:rsidRDefault="00000000">
      <w:pPr>
        <w:spacing w:after="80" w:line="264" w:lineRule="auto"/>
        <w:ind w:left="504" w:hanging="215"/>
        <w:jc w:val="both"/>
      </w:pPr>
      <w:r>
        <w:t>•  Inviabilidade de modelos tradicionais: pela complexidade em modelar deterministicamente variáveis comportamentais e sazonais, abordagens rígidas falham, o que justifica o uso de ferramentas de IA e de análise de séries temporais para mapear tendências e prever comportamentos.</w:t>
      </w:r>
    </w:p>
    <w:p w14:paraId="41E1577B" w14:textId="77777777" w:rsidR="003E4331" w:rsidRDefault="00000000">
      <w:pPr>
        <w:spacing w:after="80" w:line="264" w:lineRule="auto"/>
        <w:ind w:left="504" w:hanging="215"/>
        <w:jc w:val="both"/>
      </w:pPr>
      <w:r>
        <w:lastRenderedPageBreak/>
        <w:t>•  Adoção de geração própria: avanço significativo a partir de 2016, em que consumidores cativos têm parte do consumo real compensado na fatura por meio do Sistema de Compensação de Energia Elétrica (SCEE), reduzindo o volume de energia registrado.</w:t>
      </w:r>
    </w:p>
    <w:p w14:paraId="7CE5D9A1" w14:textId="77777777" w:rsidR="003E4331" w:rsidRDefault="00000000">
      <w:pPr>
        <w:keepNext/>
        <w:spacing w:before="260" w:after="140"/>
        <w:jc w:val="center"/>
      </w:pPr>
      <w:r>
        <w:rPr>
          <w:b/>
          <w:bCs/>
          <w:caps/>
        </w:rPr>
        <w:t>II. Dados Brutos</w:t>
      </w:r>
    </w:p>
    <w:p w14:paraId="18DAEE6D" w14:textId="77777777" w:rsidR="003E4331" w:rsidRDefault="00000000">
      <w:pPr>
        <w:spacing w:after="120" w:line="264" w:lineRule="auto"/>
        <w:ind w:firstLine="288"/>
        <w:jc w:val="both"/>
      </w:pPr>
      <w:r>
        <w:t>Os dados da CELESC, publicados no Portal de Relações com Investidores (RI), são voltados à transparência operacional de mercado e à comunicação com acionistas; os dados da ANEEL são disponibilizados no Portal de Dados Abertos por meio do SAMP (Sistema de Acompanhamento de Informações de Mercado para Regulação Econômica), com finalidade estritamente regulatória e de acompanhamento econômico do setor. Apesar dessas distinções de origem, as duas fontes atuam de forma complementar.</w:t>
      </w:r>
    </w:p>
    <w:p w14:paraId="21F985AB" w14:textId="77777777" w:rsidR="003E4331" w:rsidRDefault="00000000">
      <w:pPr>
        <w:spacing w:after="120" w:line="264" w:lineRule="auto"/>
        <w:ind w:firstLine="288"/>
        <w:jc w:val="both"/>
      </w:pPr>
      <w:r>
        <w:t>A busca de dados brutos resultou nas seguintes fontes:</w:t>
      </w:r>
    </w:p>
    <w:p w14:paraId="7C89C231" w14:textId="5A306CE4" w:rsidR="003E4331" w:rsidRDefault="00000000">
      <w:pPr>
        <w:spacing w:after="80" w:line="264" w:lineRule="auto"/>
        <w:ind w:left="504" w:hanging="215"/>
        <w:jc w:val="both"/>
      </w:pPr>
      <w:r>
        <w:t xml:space="preserve">•  CELESC </w:t>
      </w:r>
      <w:r w:rsidR="006920AE">
        <w:t>-</w:t>
      </w:r>
      <w:r>
        <w:t xml:space="preserve"> dados de consumo com 2.986.092 registros, 387 meses, cobertura de </w:t>
      </w:r>
      <w:proofErr w:type="spellStart"/>
      <w:r>
        <w:t>jan</w:t>
      </w:r>
      <w:proofErr w:type="spellEnd"/>
      <w:r>
        <w:t>/1994 a mar/2026 [1].</w:t>
      </w:r>
    </w:p>
    <w:p w14:paraId="4BEBC02B" w14:textId="7E4A5494" w:rsidR="003E4331" w:rsidRDefault="00000000">
      <w:pPr>
        <w:spacing w:after="80" w:line="264" w:lineRule="auto"/>
        <w:ind w:left="504" w:hanging="215"/>
        <w:jc w:val="both"/>
      </w:pPr>
      <w:r>
        <w:t xml:space="preserve">•  ANEEL </w:t>
      </w:r>
      <w:r w:rsidR="006920AE">
        <w:t>-</w:t>
      </w:r>
      <w:r>
        <w:t xml:space="preserve"> tarifas homologadas de base nacional com 327.493 registros (exclui tarifas de compensação de geração distribuída </w:t>
      </w:r>
      <w:r w:rsidR="006920AE">
        <w:t>-</w:t>
      </w:r>
      <w:r>
        <w:t xml:space="preserve"> SCEE), cobertura de </w:t>
      </w:r>
      <w:proofErr w:type="spellStart"/>
      <w:r>
        <w:t>ago</w:t>
      </w:r>
      <w:proofErr w:type="spellEnd"/>
      <w:r>
        <w:t xml:space="preserve">/2010 a </w:t>
      </w:r>
      <w:proofErr w:type="spellStart"/>
      <w:r>
        <w:t>ago</w:t>
      </w:r>
      <w:proofErr w:type="spellEnd"/>
      <w:r>
        <w:t>/2027 [2].</w:t>
      </w:r>
    </w:p>
    <w:p w14:paraId="2E3820E4" w14:textId="6274DAF2" w:rsidR="003E4331" w:rsidRDefault="00000000">
      <w:pPr>
        <w:spacing w:after="80" w:line="264" w:lineRule="auto"/>
        <w:ind w:left="504" w:hanging="215"/>
        <w:jc w:val="both"/>
      </w:pPr>
      <w:r>
        <w:t xml:space="preserve">•  CCEE </w:t>
      </w:r>
      <w:r w:rsidR="006920AE">
        <w:t>-</w:t>
      </w:r>
      <w:r>
        <w:t xml:space="preserve"> Preço de Liquidação das Diferenças (PLD), cobertura de 2001 a 2026, filtrado no submercado Sul [3].</w:t>
      </w:r>
    </w:p>
    <w:p w14:paraId="3A529A8D" w14:textId="77777777" w:rsidR="003E4331" w:rsidRDefault="00000000">
      <w:pPr>
        <w:keepNext/>
        <w:spacing w:before="260" w:after="140"/>
        <w:jc w:val="center"/>
      </w:pPr>
      <w:r>
        <w:rPr>
          <w:b/>
          <w:bCs/>
          <w:caps/>
        </w:rPr>
        <w:t>III. Tratamento Inicial dos Dados de Consumo CELESC (kWh/UC)</w:t>
      </w:r>
    </w:p>
    <w:p w14:paraId="0DFFF741" w14:textId="77777777" w:rsidR="003E4331" w:rsidRDefault="00000000">
      <w:pPr>
        <w:spacing w:after="120" w:line="264" w:lineRule="auto"/>
        <w:ind w:firstLine="288"/>
        <w:jc w:val="both"/>
      </w:pPr>
      <w:r>
        <w:t>A filtragem e o saneamento dos dados obtidos para o Subgrupo B3 Comercial consideraram os seguintes pontos como essenciais para a modelagem:</w:t>
      </w:r>
    </w:p>
    <w:p w14:paraId="2FBD3EE6" w14:textId="77777777" w:rsidR="003E4331" w:rsidRDefault="00000000">
      <w:pPr>
        <w:spacing w:after="80" w:line="264" w:lineRule="auto"/>
        <w:ind w:left="504" w:hanging="215"/>
        <w:jc w:val="both"/>
      </w:pPr>
      <w:r>
        <w:t>•  Filtragem da classe e do tipo, considerando válidos para a análise apenas os dados da classe Comercial e do tipo Cativo, como representativos do Subgrupo B3 (conforme definição regulatória);</w:t>
      </w:r>
    </w:p>
    <w:p w14:paraId="0A22BF92" w14:textId="77777777" w:rsidR="003E4331" w:rsidRDefault="00000000">
      <w:pPr>
        <w:spacing w:after="80" w:line="264" w:lineRule="auto"/>
        <w:ind w:left="504" w:hanging="215"/>
        <w:jc w:val="both"/>
      </w:pPr>
      <w:r>
        <w:t>•  Saneamento dos dados com agregação por soma de linhas duplicadas, expurgo de registros com número de UCs ≤ 0 e consumo (MWh) &lt; 0, com recálculo físico do consumo médio por UC;</w:t>
      </w:r>
    </w:p>
    <w:p w14:paraId="721BF87C" w14:textId="77777777" w:rsidR="003E4331" w:rsidRDefault="00000000">
      <w:pPr>
        <w:spacing w:after="80" w:line="264" w:lineRule="auto"/>
        <w:ind w:left="504" w:hanging="215"/>
        <w:jc w:val="both"/>
      </w:pPr>
      <w:r>
        <w:t>•  Exclusão de dados que ultrapassam critérios do método IQR, considerados outliers (fora da faixa de 100–3.000 kWh/UC/mês);</w:t>
      </w:r>
    </w:p>
    <w:p w14:paraId="3618B2F2" w14:textId="77777777" w:rsidR="003E4331" w:rsidRDefault="00000000">
      <w:pPr>
        <w:spacing w:after="80" w:line="264" w:lineRule="auto"/>
        <w:ind w:left="504" w:hanging="215"/>
        <w:jc w:val="both"/>
      </w:pPr>
      <w:r>
        <w:t xml:space="preserve">•  Manutenção de anomalias sistêmicas: a causa exata pode não estar confirmada, mas existe um padrão consistente com uma possível transição no sistema de </w:t>
      </w:r>
      <w:r>
        <w:t>faturamento/reporte da distribuidora, e com a pandemia vigente no período;</w:t>
      </w:r>
    </w:p>
    <w:p w14:paraId="6C95B82A" w14:textId="77777777" w:rsidR="003E4331" w:rsidRDefault="00000000">
      <w:pPr>
        <w:spacing w:after="80" w:line="264" w:lineRule="auto"/>
        <w:ind w:left="504" w:hanging="215"/>
        <w:jc w:val="both"/>
      </w:pPr>
      <w:r>
        <w:t>•  Ajustes na cobertura final: dados válidos para 376 dos 387 meses da base (jan.–nov. de 1994 com dados ausentes por lacuna estrutural da fonte).</w:t>
      </w:r>
    </w:p>
    <w:p w14:paraId="46C723AF" w14:textId="77777777" w:rsidR="003E4331" w:rsidRDefault="00000000">
      <w:pPr>
        <w:spacing w:before="200" w:after="60"/>
        <w:jc w:val="center"/>
      </w:pPr>
      <w:r>
        <w:rPr>
          <w:noProof/>
        </w:rPr>
        <w:drawing>
          <wp:inline distT="0" distB="0" distL="0" distR="0" wp14:anchorId="7EBFA261" wp14:editId="18C56158">
            <wp:extent cx="3019425" cy="17526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0D74D" w14:textId="77777777" w:rsidR="003E4331" w:rsidRDefault="00000000">
      <w:pPr>
        <w:spacing w:after="200"/>
        <w:jc w:val="center"/>
      </w:pPr>
      <w:r>
        <w:rPr>
          <w:sz w:val="17"/>
          <w:szCs w:val="17"/>
        </w:rPr>
        <w:t>Fig. 1.  Consumo comercial total do estado de Santa Catarina (Cativo + Livre), 1994–2025.</w:t>
      </w:r>
    </w:p>
    <w:p w14:paraId="7B407FEF" w14:textId="77777777" w:rsidR="003E4331" w:rsidRDefault="00000000">
      <w:pPr>
        <w:spacing w:before="200" w:after="60"/>
        <w:jc w:val="center"/>
      </w:pPr>
      <w:r>
        <w:rPr>
          <w:noProof/>
        </w:rPr>
        <w:drawing>
          <wp:inline distT="0" distB="0" distL="0" distR="0" wp14:anchorId="67343B6B" wp14:editId="59D85887">
            <wp:extent cx="3019425" cy="1657350"/>
            <wp:effectExtent l="0" t="0" r="0" b="0"/>
            <wp:docPr id="1501358782" name="Imagem 15013587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8E14B" w14:textId="77777777" w:rsidR="003E4331" w:rsidRDefault="00000000">
      <w:pPr>
        <w:spacing w:after="200"/>
        <w:jc w:val="center"/>
      </w:pPr>
      <w:r>
        <w:rPr>
          <w:sz w:val="17"/>
          <w:szCs w:val="17"/>
        </w:rPr>
        <w:t>Fig. 2.  Consumo comercial total do estado por tipo de contratação (Cativo x Livre), 1994–2025.</w:t>
      </w:r>
    </w:p>
    <w:p w14:paraId="5C67E29F" w14:textId="77777777" w:rsidR="003E4331" w:rsidRDefault="00000000">
      <w:pPr>
        <w:spacing w:after="120" w:line="264" w:lineRule="auto"/>
        <w:ind w:firstLine="288"/>
        <w:jc w:val="both"/>
      </w:pPr>
      <w:r>
        <w:t>Observa-se aceleração do tipo Livre a partir de 2016 e recuo do Cativo em 2024–2025, consistente com a migração de parte do grupo comercial ao mercado livre e com um possível efeito da geração distribuída sobre o mercado cativo.</w:t>
      </w:r>
    </w:p>
    <w:p w14:paraId="186DC8A7" w14:textId="77777777" w:rsidR="003E4331" w:rsidRDefault="00000000">
      <w:pPr>
        <w:keepNext/>
        <w:spacing w:before="260" w:after="140"/>
        <w:jc w:val="center"/>
      </w:pPr>
      <w:r>
        <w:rPr>
          <w:b/>
          <w:bCs/>
          <w:caps/>
        </w:rPr>
        <w:t>IV. Tratamento Inicial dos Dados de Tarifas ANEEL e do PLD (R$/MWh)</w:t>
      </w:r>
    </w:p>
    <w:p w14:paraId="46B76ECE" w14:textId="77777777" w:rsidR="003E4331" w:rsidRDefault="00000000">
      <w:pPr>
        <w:keepNext/>
        <w:spacing w:before="160" w:after="100"/>
      </w:pPr>
      <w:r>
        <w:rPr>
          <w:b/>
          <w:bCs/>
          <w:i/>
          <w:iCs/>
        </w:rPr>
        <w:t>A. Tarifas B3 CELESC (ANEEL)</w:t>
      </w:r>
    </w:p>
    <w:p w14:paraId="0622C143" w14:textId="77777777" w:rsidR="003E4331" w:rsidRDefault="00000000">
      <w:pPr>
        <w:spacing w:after="120" w:line="264" w:lineRule="auto"/>
        <w:ind w:firstLine="288"/>
        <w:jc w:val="both"/>
      </w:pPr>
      <w:r>
        <w:t>A base nacional de tarifas homologadas foi filtrada dos dados da ANEEL para a concessionária CELESC, Subgrupo B3, modalidade Convencional. Cada período de vigência foi expandido para séries anuais (TUSD+TE, TUST e TE).</w:t>
      </w:r>
    </w:p>
    <w:p w14:paraId="7E5CD471" w14:textId="77777777" w:rsidR="003E4331" w:rsidRDefault="00000000">
      <w:pPr>
        <w:spacing w:before="200" w:after="60"/>
        <w:jc w:val="center"/>
      </w:pPr>
      <w:r>
        <w:rPr>
          <w:noProof/>
        </w:rPr>
        <w:lastRenderedPageBreak/>
        <w:drawing>
          <wp:inline distT="0" distB="0" distL="0" distR="0" wp14:anchorId="5BC91905" wp14:editId="4CD1B6D2">
            <wp:extent cx="3019425" cy="1447800"/>
            <wp:effectExtent l="0" t="0" r="0" b="0"/>
            <wp:docPr id="342593000" name="Imagem 342593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F0097" w14:textId="77777777" w:rsidR="003E4331" w:rsidRDefault="00000000">
      <w:pPr>
        <w:spacing w:after="200"/>
        <w:jc w:val="center"/>
      </w:pPr>
      <w:r>
        <w:rPr>
          <w:sz w:val="17"/>
          <w:szCs w:val="17"/>
        </w:rPr>
        <w:t>Fig. 3.  Evolução da TUST + TE (CELESC Cativo), 2010–2027.</w:t>
      </w:r>
    </w:p>
    <w:p w14:paraId="53D67F57" w14:textId="77777777" w:rsidR="003E4331" w:rsidRDefault="00000000">
      <w:pPr>
        <w:keepNext/>
        <w:spacing w:before="160" w:after="100"/>
      </w:pPr>
      <w:r>
        <w:rPr>
          <w:b/>
          <w:bCs/>
          <w:i/>
          <w:iCs/>
        </w:rPr>
        <w:t>B. PLD Sul (CCEE)</w:t>
      </w:r>
    </w:p>
    <w:p w14:paraId="66E00851" w14:textId="77777777" w:rsidR="003E4331" w:rsidRDefault="00000000">
      <w:pPr>
        <w:spacing w:after="120" w:line="264" w:lineRule="auto"/>
        <w:ind w:firstLine="288"/>
        <w:jc w:val="both"/>
      </w:pPr>
      <w:r>
        <w:t xml:space="preserve">As séries semanais de PLD (2001–2026) foram filtradas para o submercado Sul e agregadas em médias mensais, com cobertura de </w:t>
      </w:r>
      <w:proofErr w:type="spellStart"/>
      <w:r>
        <w:t>jun</w:t>
      </w:r>
      <w:proofErr w:type="spellEnd"/>
      <w:r>
        <w:t>/2001 a set/2026.</w:t>
      </w:r>
    </w:p>
    <w:p w14:paraId="3BABF1DA" w14:textId="77777777" w:rsidR="003E4331" w:rsidRDefault="00000000">
      <w:pPr>
        <w:spacing w:before="200" w:after="60"/>
        <w:jc w:val="center"/>
      </w:pPr>
      <w:r>
        <w:rPr>
          <w:noProof/>
        </w:rPr>
        <w:drawing>
          <wp:inline distT="0" distB="0" distL="0" distR="0" wp14:anchorId="245F869C" wp14:editId="7FBBCCDC">
            <wp:extent cx="3019425" cy="1276350"/>
            <wp:effectExtent l="0" t="0" r="0" b="0"/>
            <wp:docPr id="1496290960" name="Imagem 14962909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A1DA6" w14:textId="77777777" w:rsidR="003E4331" w:rsidRDefault="00000000">
      <w:pPr>
        <w:spacing w:after="200"/>
        <w:jc w:val="center"/>
      </w:pPr>
      <w:r>
        <w:rPr>
          <w:sz w:val="17"/>
          <w:szCs w:val="17"/>
        </w:rPr>
        <w:t>Fig. 4.  Evolução do PLD (CCEE), 2001–2026.</w:t>
      </w:r>
    </w:p>
    <w:p w14:paraId="580040E5" w14:textId="77777777" w:rsidR="003E4331" w:rsidRDefault="00000000">
      <w:pPr>
        <w:keepNext/>
        <w:spacing w:before="260" w:after="140"/>
        <w:jc w:val="center"/>
      </w:pPr>
      <w:r>
        <w:rPr>
          <w:b/>
          <w:bCs/>
          <w:caps/>
        </w:rPr>
        <w:t>V. Modelagem Preditiva de Consumo</w:t>
      </w:r>
    </w:p>
    <w:p w14:paraId="1CC677FF" w14:textId="55761811" w:rsidR="003E4331" w:rsidRDefault="00000000">
      <w:pPr>
        <w:spacing w:after="120" w:line="264" w:lineRule="auto"/>
        <w:ind w:firstLine="288"/>
        <w:jc w:val="both"/>
      </w:pPr>
      <w:r>
        <w:t xml:space="preserve">Com uso de IA (Claude), dois modelos foram treinados sobre a mesma série (consumo mensal B3 Cativo, dez/1994–mar/2026) e o mesmo split cronológico </w:t>
      </w:r>
      <w:r w:rsidR="006920AE">
        <w:t>-</w:t>
      </w:r>
      <w:r>
        <w:t xml:space="preserve"> treino (328 meses, até mar/2022), validação (24 meses) e teste (24 meses, </w:t>
      </w:r>
      <w:proofErr w:type="spellStart"/>
      <w:r>
        <w:t>abr</w:t>
      </w:r>
      <w:proofErr w:type="spellEnd"/>
      <w:r>
        <w:t xml:space="preserve">/2024–mar/2026) </w:t>
      </w:r>
      <w:r w:rsidR="006920AE">
        <w:t>-</w:t>
      </w:r>
      <w:r>
        <w:t xml:space="preserve"> para fins de comparação de desempenho:</w:t>
      </w:r>
    </w:p>
    <w:p w14:paraId="04F62D35" w14:textId="77777777" w:rsidR="003E4331" w:rsidRDefault="00000000">
      <w:pPr>
        <w:keepNext/>
        <w:spacing w:before="160" w:after="100"/>
      </w:pPr>
      <w:r>
        <w:rPr>
          <w:b/>
          <w:bCs/>
          <w:i/>
          <w:iCs/>
        </w:rPr>
        <w:t>A. Holt-Winters (Suavização Exponencial)</w:t>
      </w:r>
    </w:p>
    <w:p w14:paraId="73310D3D" w14:textId="6B4B64D6" w:rsidR="003E4331" w:rsidRDefault="00000000">
      <w:pPr>
        <w:spacing w:after="120" w:line="264" w:lineRule="auto"/>
        <w:ind w:firstLine="288"/>
        <w:jc w:val="both"/>
      </w:pPr>
      <w:r>
        <w:t>Ajustado com tendência e sazonalidade aditivas (</w:t>
      </w:r>
      <w:proofErr w:type="spellStart"/>
      <w:r>
        <w:t>statsmodels.ExponentialSmoothing</w:t>
      </w:r>
      <w:proofErr w:type="spellEnd"/>
      <w:r>
        <w:t>, 12 períodos sazonais). Testou-se também tendência amortecida (</w:t>
      </w:r>
      <w:proofErr w:type="spellStart"/>
      <w:r>
        <w:t>damped</w:t>
      </w:r>
      <w:proofErr w:type="spellEnd"/>
      <w:r>
        <w:t xml:space="preserve"> trend), sem melhora relevante </w:t>
      </w:r>
      <w:r w:rsidR="006920AE">
        <w:t>-</w:t>
      </w:r>
      <w:r>
        <w:t xml:space="preserve"> o otimizador convergiu para φ ≈ 0,995, ou seja, praticamente sem amortecimento.</w:t>
      </w:r>
    </w:p>
    <w:p w14:paraId="3BD5C5D6" w14:textId="77777777" w:rsidR="003E4331" w:rsidRDefault="00000000">
      <w:pPr>
        <w:keepNext/>
        <w:spacing w:before="160" w:after="100"/>
      </w:pPr>
      <w:r>
        <w:rPr>
          <w:b/>
          <w:bCs/>
          <w:i/>
          <w:iCs/>
        </w:rPr>
        <w:t>B. LSTM (</w:t>
      </w:r>
      <w:proofErr w:type="spellStart"/>
      <w:r>
        <w:rPr>
          <w:b/>
          <w:bCs/>
          <w:i/>
          <w:iCs/>
        </w:rPr>
        <w:t>TensorFlow</w:t>
      </w:r>
      <w:proofErr w:type="spellEnd"/>
      <w:r>
        <w:rPr>
          <w:b/>
          <w:bCs/>
          <w:i/>
          <w:iCs/>
        </w:rPr>
        <w:t>/</w:t>
      </w:r>
      <w:proofErr w:type="spellStart"/>
      <w:r>
        <w:rPr>
          <w:b/>
          <w:bCs/>
          <w:i/>
          <w:iCs/>
        </w:rPr>
        <w:t>Keras</w:t>
      </w:r>
      <w:proofErr w:type="spellEnd"/>
      <w:r>
        <w:rPr>
          <w:b/>
          <w:bCs/>
          <w:i/>
          <w:iCs/>
        </w:rPr>
        <w:t>)</w:t>
      </w:r>
    </w:p>
    <w:p w14:paraId="13137325" w14:textId="77777777" w:rsidR="003E4331" w:rsidRDefault="00000000">
      <w:pPr>
        <w:spacing w:after="120" w:line="264" w:lineRule="auto"/>
        <w:ind w:firstLine="288"/>
        <w:jc w:val="both"/>
      </w:pPr>
      <w:r>
        <w:t xml:space="preserve">Rede recorrente com uma camada LSTM (32 unidades) e camada densa (16 unidades, ativação </w:t>
      </w:r>
      <w:proofErr w:type="spellStart"/>
      <w:r>
        <w:t>ReLU</w:t>
      </w:r>
      <w:proofErr w:type="spellEnd"/>
      <w:r>
        <w:t>) e saída linear, janela deslizante de 12 meses, normalização z-score ajustada apenas no conjunto de treino (sem vazamento de dados), otimizador Adam (</w:t>
      </w:r>
      <w:proofErr w:type="spellStart"/>
      <w:r>
        <w:t>lr</w:t>
      </w:r>
      <w:proofErr w:type="spellEnd"/>
      <w:r>
        <w:t xml:space="preserve"> = 0,005) e </w:t>
      </w:r>
      <w:proofErr w:type="spellStart"/>
      <w:r>
        <w:t>early</w:t>
      </w:r>
      <w:proofErr w:type="spellEnd"/>
      <w:r>
        <w:t xml:space="preserve"> </w:t>
      </w:r>
      <w:proofErr w:type="spellStart"/>
      <w:r>
        <w:t>stopping</w:t>
      </w:r>
      <w:proofErr w:type="spellEnd"/>
      <w:r>
        <w:t xml:space="preserve"> monitorando a perda de validação. A previsão no período de teste foi feita de forma recursiva (</w:t>
      </w:r>
      <w:proofErr w:type="spellStart"/>
      <w:r>
        <w:t>multi-passo</w:t>
      </w:r>
      <w:proofErr w:type="spellEnd"/>
      <w:r>
        <w:t>), mais realista que a previsão de um único passo.</w:t>
      </w:r>
    </w:p>
    <w:p w14:paraId="6C350218" w14:textId="77777777" w:rsidR="003E4331" w:rsidRDefault="00000000">
      <w:pPr>
        <w:keepNext/>
        <w:spacing w:before="200" w:after="80"/>
        <w:jc w:val="center"/>
      </w:pPr>
      <w:r>
        <w:rPr>
          <w:sz w:val="17"/>
          <w:szCs w:val="17"/>
        </w:rPr>
        <w:t>TABLE I</w:t>
      </w:r>
      <w:r>
        <w:rPr>
          <w:sz w:val="17"/>
          <w:szCs w:val="17"/>
        </w:rPr>
        <w:br/>
        <w:t xml:space="preserve"> COMPARAÇÃO DE DESEMPENHO DOS MODELOS (PERÍODO DE TESTE, ABR/2024–MAR/2026)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5"/>
        <w:gridCol w:w="1134"/>
        <w:gridCol w:w="1134"/>
        <w:gridCol w:w="1106"/>
      </w:tblGrid>
      <w:tr w:rsidR="003E4331" w14:paraId="4277BF47" w14:textId="77777777" w:rsidTr="006920A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77" w:type="pct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9E40A3" w14:textId="77777777" w:rsidR="003E4331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Modelo</w:t>
            </w:r>
          </w:p>
        </w:tc>
        <w:tc>
          <w:tcPr>
            <w:tcW w:w="1150" w:type="pct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229909" w14:textId="77777777" w:rsidR="003E4331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MAPE</w:t>
            </w:r>
          </w:p>
        </w:tc>
        <w:tc>
          <w:tcPr>
            <w:tcW w:w="1150" w:type="pct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55D6B9" w14:textId="77777777" w:rsidR="003E4331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RMSE (MWh)</w:t>
            </w:r>
          </w:p>
        </w:tc>
        <w:tc>
          <w:tcPr>
            <w:tcW w:w="1122" w:type="pct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1B32C7" w14:textId="77777777" w:rsidR="003E4331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MAE (MWh)</w:t>
            </w:r>
          </w:p>
        </w:tc>
      </w:tr>
      <w:tr w:rsidR="003E4331" w14:paraId="52D47404" w14:textId="77777777" w:rsidTr="006920A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7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F1EF79" w14:textId="77777777" w:rsidR="003E4331" w:rsidRDefault="00000000">
            <w:pPr>
              <w:jc w:val="center"/>
            </w:pPr>
            <w:r>
              <w:rPr>
                <w:sz w:val="17"/>
                <w:szCs w:val="17"/>
              </w:rPr>
              <w:t>Holt-Winters</w:t>
            </w:r>
          </w:p>
        </w:tc>
        <w:tc>
          <w:tcPr>
            <w:tcW w:w="1150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7C9EEC" w14:textId="77777777" w:rsidR="003E4331" w:rsidRDefault="00000000">
            <w:pPr>
              <w:jc w:val="center"/>
            </w:pPr>
            <w:r>
              <w:rPr>
                <w:sz w:val="17"/>
                <w:szCs w:val="17"/>
              </w:rPr>
              <w:t>16,48%</w:t>
            </w:r>
          </w:p>
        </w:tc>
        <w:tc>
          <w:tcPr>
            <w:tcW w:w="1150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E96C6B" w14:textId="77777777" w:rsidR="003E4331" w:rsidRDefault="00000000">
            <w:pPr>
              <w:jc w:val="center"/>
            </w:pPr>
            <w:r>
              <w:rPr>
                <w:sz w:val="17"/>
                <w:szCs w:val="17"/>
              </w:rPr>
              <w:t>45.526</w:t>
            </w:r>
          </w:p>
        </w:tc>
        <w:tc>
          <w:tcPr>
            <w:tcW w:w="1122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F136EA" w14:textId="77777777" w:rsidR="003E4331" w:rsidRDefault="00000000">
            <w:pPr>
              <w:jc w:val="center"/>
            </w:pPr>
            <w:r>
              <w:rPr>
                <w:sz w:val="17"/>
                <w:szCs w:val="17"/>
              </w:rPr>
              <w:t>39.943</w:t>
            </w:r>
          </w:p>
        </w:tc>
      </w:tr>
      <w:tr w:rsidR="003E4331" w14:paraId="1E0F59E9" w14:textId="77777777" w:rsidTr="006920A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7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73A275" w14:textId="77777777" w:rsidR="003E4331" w:rsidRDefault="00000000">
            <w:pPr>
              <w:jc w:val="center"/>
            </w:pPr>
            <w:r>
              <w:rPr>
                <w:sz w:val="17"/>
                <w:szCs w:val="17"/>
              </w:rPr>
              <w:t>LSTM</w:t>
            </w:r>
          </w:p>
        </w:tc>
        <w:tc>
          <w:tcPr>
            <w:tcW w:w="1150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2C36A6" w14:textId="77777777" w:rsidR="003E4331" w:rsidRDefault="00000000">
            <w:pPr>
              <w:jc w:val="center"/>
            </w:pPr>
            <w:r>
              <w:rPr>
                <w:sz w:val="17"/>
                <w:szCs w:val="17"/>
              </w:rPr>
              <w:t>7,35%</w:t>
            </w:r>
          </w:p>
        </w:tc>
        <w:tc>
          <w:tcPr>
            <w:tcW w:w="1150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395778" w14:textId="77777777" w:rsidR="003E4331" w:rsidRDefault="00000000">
            <w:pPr>
              <w:jc w:val="center"/>
            </w:pPr>
            <w:r>
              <w:rPr>
                <w:sz w:val="17"/>
                <w:szCs w:val="17"/>
              </w:rPr>
              <w:t>23.733</w:t>
            </w:r>
          </w:p>
        </w:tc>
        <w:tc>
          <w:tcPr>
            <w:tcW w:w="1122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DD7646" w14:textId="77777777" w:rsidR="003E4331" w:rsidRDefault="00000000">
            <w:pPr>
              <w:jc w:val="center"/>
            </w:pPr>
            <w:r>
              <w:rPr>
                <w:sz w:val="17"/>
                <w:szCs w:val="17"/>
              </w:rPr>
              <w:t>19.671</w:t>
            </w:r>
          </w:p>
        </w:tc>
      </w:tr>
    </w:tbl>
    <w:p w14:paraId="4EB62D5C" w14:textId="4894406C" w:rsidR="006920AE" w:rsidRPr="006920AE" w:rsidRDefault="00000000" w:rsidP="006920AE">
      <w:pPr>
        <w:spacing w:line="264" w:lineRule="auto"/>
        <w:jc w:val="both"/>
        <w:rPr>
          <w:sz w:val="16"/>
          <w:szCs w:val="16"/>
        </w:rPr>
      </w:pPr>
      <w:r w:rsidRPr="006920AE">
        <w:rPr>
          <w:sz w:val="16"/>
          <w:szCs w:val="16"/>
        </w:rPr>
        <w:t>MAPE (</w:t>
      </w:r>
      <w:proofErr w:type="spellStart"/>
      <w:r w:rsidRPr="006920AE">
        <w:rPr>
          <w:sz w:val="16"/>
          <w:szCs w:val="16"/>
        </w:rPr>
        <w:t>Mean</w:t>
      </w:r>
      <w:proofErr w:type="spellEnd"/>
      <w:r w:rsidRPr="006920AE">
        <w:rPr>
          <w:sz w:val="16"/>
          <w:szCs w:val="16"/>
        </w:rPr>
        <w:t xml:space="preserve"> Absolute </w:t>
      </w:r>
      <w:proofErr w:type="spellStart"/>
      <w:r w:rsidRPr="006920AE">
        <w:rPr>
          <w:sz w:val="16"/>
          <w:szCs w:val="16"/>
        </w:rPr>
        <w:t>Percentage</w:t>
      </w:r>
      <w:proofErr w:type="spellEnd"/>
      <w:r w:rsidRPr="006920AE">
        <w:rPr>
          <w:sz w:val="16"/>
          <w:szCs w:val="16"/>
        </w:rPr>
        <w:t xml:space="preserve"> Error</w:t>
      </w:r>
      <w:r w:rsidR="006920AE">
        <w:rPr>
          <w:sz w:val="16"/>
          <w:szCs w:val="16"/>
        </w:rPr>
        <w:t xml:space="preserve"> - </w:t>
      </w:r>
      <w:r w:rsidRPr="006920AE">
        <w:rPr>
          <w:sz w:val="16"/>
          <w:szCs w:val="16"/>
        </w:rPr>
        <w:t>Erro Percentual Absoluto Médio);</w:t>
      </w:r>
    </w:p>
    <w:p w14:paraId="3C1D7759" w14:textId="6D99E007" w:rsidR="006920AE" w:rsidRPr="006920AE" w:rsidRDefault="00000000" w:rsidP="006920AE">
      <w:pPr>
        <w:spacing w:line="264" w:lineRule="auto"/>
        <w:jc w:val="both"/>
        <w:rPr>
          <w:sz w:val="16"/>
          <w:szCs w:val="16"/>
        </w:rPr>
      </w:pPr>
      <w:r w:rsidRPr="006920AE">
        <w:rPr>
          <w:sz w:val="16"/>
          <w:szCs w:val="16"/>
        </w:rPr>
        <w:t xml:space="preserve">RMSE (Root </w:t>
      </w:r>
      <w:proofErr w:type="spellStart"/>
      <w:r w:rsidRPr="006920AE">
        <w:rPr>
          <w:sz w:val="16"/>
          <w:szCs w:val="16"/>
        </w:rPr>
        <w:t>Mean</w:t>
      </w:r>
      <w:proofErr w:type="spellEnd"/>
      <w:r w:rsidRPr="006920AE">
        <w:rPr>
          <w:sz w:val="16"/>
          <w:szCs w:val="16"/>
        </w:rPr>
        <w:t xml:space="preserve"> </w:t>
      </w:r>
      <w:proofErr w:type="spellStart"/>
      <w:r w:rsidRPr="006920AE">
        <w:rPr>
          <w:sz w:val="16"/>
          <w:szCs w:val="16"/>
        </w:rPr>
        <w:t>Squared</w:t>
      </w:r>
      <w:proofErr w:type="spellEnd"/>
      <w:r w:rsidRPr="006920AE">
        <w:rPr>
          <w:sz w:val="16"/>
          <w:szCs w:val="16"/>
        </w:rPr>
        <w:t xml:space="preserve"> Error</w:t>
      </w:r>
      <w:r w:rsidR="006920AE">
        <w:rPr>
          <w:sz w:val="16"/>
          <w:szCs w:val="16"/>
        </w:rPr>
        <w:t xml:space="preserve"> - </w:t>
      </w:r>
      <w:r w:rsidRPr="006920AE">
        <w:rPr>
          <w:sz w:val="16"/>
          <w:szCs w:val="16"/>
        </w:rPr>
        <w:t>Raiz do Erro Quadrático Médio);</w:t>
      </w:r>
    </w:p>
    <w:p w14:paraId="4DF90A7F" w14:textId="2909F597" w:rsidR="003E4331" w:rsidRPr="006920AE" w:rsidRDefault="00000000" w:rsidP="006920AE">
      <w:pPr>
        <w:spacing w:line="264" w:lineRule="auto"/>
        <w:jc w:val="both"/>
        <w:rPr>
          <w:sz w:val="16"/>
          <w:szCs w:val="16"/>
        </w:rPr>
      </w:pPr>
      <w:r w:rsidRPr="006920AE">
        <w:rPr>
          <w:sz w:val="16"/>
          <w:szCs w:val="16"/>
        </w:rPr>
        <w:t>MAE (</w:t>
      </w:r>
      <w:proofErr w:type="spellStart"/>
      <w:r w:rsidRPr="006920AE">
        <w:rPr>
          <w:sz w:val="16"/>
          <w:szCs w:val="16"/>
        </w:rPr>
        <w:t>Mean</w:t>
      </w:r>
      <w:proofErr w:type="spellEnd"/>
      <w:r w:rsidRPr="006920AE">
        <w:rPr>
          <w:sz w:val="16"/>
          <w:szCs w:val="16"/>
        </w:rPr>
        <w:t xml:space="preserve"> Absolute Error</w:t>
      </w:r>
      <w:r w:rsidR="006920AE">
        <w:rPr>
          <w:sz w:val="16"/>
          <w:szCs w:val="16"/>
        </w:rPr>
        <w:t xml:space="preserve"> - </w:t>
      </w:r>
      <w:r w:rsidRPr="006920AE">
        <w:rPr>
          <w:sz w:val="16"/>
          <w:szCs w:val="16"/>
        </w:rPr>
        <w:t>Erro Absoluto Médio).</w:t>
      </w:r>
    </w:p>
    <w:p w14:paraId="66149595" w14:textId="77777777" w:rsidR="003E4331" w:rsidRDefault="00000000">
      <w:pPr>
        <w:spacing w:before="200" w:after="60"/>
        <w:jc w:val="center"/>
      </w:pPr>
      <w:r>
        <w:rPr>
          <w:noProof/>
        </w:rPr>
        <w:drawing>
          <wp:inline distT="0" distB="0" distL="0" distR="0" wp14:anchorId="62AF0AFB" wp14:editId="70453126">
            <wp:extent cx="3019425" cy="1371600"/>
            <wp:effectExtent l="0" t="0" r="0" b="0"/>
            <wp:docPr id="1641723938" name="Imagem 16417239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B611A" w14:textId="77777777" w:rsidR="003E4331" w:rsidRDefault="00000000">
      <w:pPr>
        <w:spacing w:after="200"/>
        <w:jc w:val="center"/>
      </w:pPr>
      <w:r>
        <w:rPr>
          <w:sz w:val="17"/>
          <w:szCs w:val="17"/>
        </w:rPr>
        <w:t>Fig. 5.  Real vs. previsto no período de teste, modelos Holt-Winters e LSTM.</w:t>
      </w:r>
    </w:p>
    <w:p w14:paraId="3588F278" w14:textId="2CDCB4F1" w:rsidR="003E4331" w:rsidRDefault="00000000">
      <w:pPr>
        <w:spacing w:after="120" w:line="264" w:lineRule="auto"/>
        <w:ind w:firstLine="288"/>
        <w:jc w:val="both"/>
      </w:pPr>
      <w:r>
        <w:t xml:space="preserve">O período de teste (2024–2026) coincide com uma desaceleração/queda real do consumo B3 Comercial, documentada no projeto como o "declínio de 2025". Ambos os modelos foram treinados no forte crescimento anterior e tendem a superestimar o consumo recente </w:t>
      </w:r>
      <w:r w:rsidR="006920AE">
        <w:t>-</w:t>
      </w:r>
      <w:r>
        <w:t xml:space="preserve"> o que não é um defeito de implementação, mas uma mudança de regime real que nenhum modelo puramente </w:t>
      </w:r>
      <w:proofErr w:type="spellStart"/>
      <w:r>
        <w:t>univariado</w:t>
      </w:r>
      <w:proofErr w:type="spellEnd"/>
      <w:r>
        <w:t xml:space="preserve"> consegue antecipar.</w:t>
      </w:r>
    </w:p>
    <w:p w14:paraId="61CABF22" w14:textId="77777777" w:rsidR="003E4331" w:rsidRDefault="00000000">
      <w:pPr>
        <w:keepNext/>
        <w:spacing w:before="160" w:after="100"/>
      </w:pPr>
      <w:r>
        <w:rPr>
          <w:b/>
          <w:bCs/>
          <w:i/>
          <w:iCs/>
        </w:rPr>
        <w:t>C. Validação Walk-</w:t>
      </w:r>
      <w:proofErr w:type="spellStart"/>
      <w:r>
        <w:rPr>
          <w:b/>
          <w:bCs/>
          <w:i/>
          <w:iCs/>
        </w:rPr>
        <w:t>Forward</w:t>
      </w:r>
      <w:proofErr w:type="spellEnd"/>
      <w:r>
        <w:rPr>
          <w:b/>
          <w:bCs/>
          <w:i/>
          <w:iCs/>
        </w:rPr>
        <w:t xml:space="preserve"> e Comparação com </w:t>
      </w:r>
      <w:proofErr w:type="spellStart"/>
      <w:r>
        <w:rPr>
          <w:b/>
          <w:bCs/>
          <w:i/>
          <w:iCs/>
        </w:rPr>
        <w:t>Gradient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Boosting</w:t>
      </w:r>
      <w:proofErr w:type="spellEnd"/>
    </w:p>
    <w:p w14:paraId="3A135784" w14:textId="2F7935C9" w:rsidR="003E4331" w:rsidRDefault="00000000">
      <w:pPr>
        <w:spacing w:after="120" w:line="264" w:lineRule="auto"/>
        <w:ind w:firstLine="288"/>
        <w:jc w:val="both"/>
      </w:pPr>
      <w:r>
        <w:t xml:space="preserve">A comparação da Tabela I usa uma única janela de teste, o que a torna sensível ao regime específico desse período. Para obter uma avaliação mais robusta de qual modelo generaliza melhor ao longo do histórico, foi conduzida uma validação </w:t>
      </w:r>
      <w:proofErr w:type="spellStart"/>
      <w:r>
        <w:t>walk-forward</w:t>
      </w:r>
      <w:proofErr w:type="spellEnd"/>
      <w:r>
        <w:t xml:space="preserve"> com 21 janelas de 12 meses (2005–2025), retreinando cada modelo do zero em cada janela. Um terceiro modelo</w:t>
      </w:r>
      <w:r w:rsidR="006920AE">
        <w:t xml:space="preserve"> </w:t>
      </w:r>
      <w:r w:rsidR="006920AE">
        <w:t>foi incorporado</w:t>
      </w:r>
      <w:r w:rsidR="006920AE">
        <w:t xml:space="preserve"> - </w:t>
      </w:r>
      <w:proofErr w:type="spellStart"/>
      <w:r>
        <w:t>Gradient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 recursivo (</w:t>
      </w:r>
      <w:proofErr w:type="spellStart"/>
      <w:r>
        <w:t>HistGradientBoostingRegressor</w:t>
      </w:r>
      <w:proofErr w:type="spellEnd"/>
      <w:r>
        <w:t>)</w:t>
      </w:r>
      <w:r w:rsidR="006920AE">
        <w:t xml:space="preserve"> - </w:t>
      </w:r>
      <w:r>
        <w:t>especificamente nesta validação.</w:t>
      </w:r>
    </w:p>
    <w:p w14:paraId="13112677" w14:textId="77777777" w:rsidR="003E4331" w:rsidRDefault="00000000">
      <w:pPr>
        <w:spacing w:after="120" w:line="264" w:lineRule="auto"/>
        <w:ind w:firstLine="288"/>
        <w:jc w:val="both"/>
      </w:pPr>
      <w:r>
        <w:t>Diferentemente da Tabela I, a Tabela IV reporta apenas o MAPE (métrica percentual). RMSE e MAE, medidos em MWh absolutos, não são comparáveis entre janelas com bases de consumo tão diferentes: o consumo do Subgrupo B3 cresceu de cerca de 100 mil MWh/mês nas janelas de 2005–2010 para mais de 300 mil MWh/mês nas janelas mais recentes, de modo que uma métrica absoluta agregada seria dominada pelas janelas de maior consumo, independentemente do erro proporcional de cada modelo.</w:t>
      </w:r>
    </w:p>
    <w:p w14:paraId="13FD6FF6" w14:textId="3B7C5870" w:rsidR="003E4331" w:rsidRDefault="00000000">
      <w:pPr>
        <w:keepNext/>
        <w:spacing w:before="200" w:after="80"/>
        <w:jc w:val="center"/>
      </w:pPr>
      <w:r>
        <w:rPr>
          <w:sz w:val="17"/>
          <w:szCs w:val="17"/>
        </w:rPr>
        <w:lastRenderedPageBreak/>
        <w:t>TABLE IV</w:t>
      </w:r>
      <w:r>
        <w:rPr>
          <w:sz w:val="17"/>
          <w:szCs w:val="17"/>
        </w:rPr>
        <w:br/>
        <w:t xml:space="preserve"> VALIDAÇÃO WALK-FORWARD </w:t>
      </w:r>
      <w:r w:rsidR="006920AE">
        <w:rPr>
          <w:sz w:val="17"/>
          <w:szCs w:val="17"/>
        </w:rPr>
        <w:t>-</w:t>
      </w:r>
      <w:r>
        <w:rPr>
          <w:sz w:val="17"/>
          <w:szCs w:val="17"/>
        </w:rPr>
        <w:t xml:space="preserve"> MAPE MÉDIO POR MODELO (21 JANELAS, 2005–2025)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1"/>
        <w:gridCol w:w="1627"/>
        <w:gridCol w:w="1331"/>
      </w:tblGrid>
      <w:tr w:rsidR="003E4331" w14:paraId="42EC2EA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00" w:type="pct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BCE3D7" w14:textId="77777777" w:rsidR="003E4331" w:rsidRDefault="00000000">
            <w:r>
              <w:rPr>
                <w:b/>
                <w:bCs/>
                <w:sz w:val="17"/>
                <w:szCs w:val="17"/>
              </w:rPr>
              <w:t>Modelo</w:t>
            </w:r>
          </w:p>
        </w:tc>
        <w:tc>
          <w:tcPr>
            <w:tcW w:w="1500" w:type="pct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7DA723" w14:textId="77777777" w:rsidR="003E4331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MAPE médio</w:t>
            </w:r>
          </w:p>
        </w:tc>
        <w:tc>
          <w:tcPr>
            <w:tcW w:w="1500" w:type="pct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81E99D" w14:textId="77777777" w:rsidR="003E4331" w:rsidRDefault="00000000">
            <w:pPr>
              <w:jc w:val="center"/>
            </w:pPr>
            <w:proofErr w:type="spellStart"/>
            <w:r>
              <w:rPr>
                <w:b/>
                <w:bCs/>
                <w:sz w:val="17"/>
                <w:szCs w:val="17"/>
              </w:rPr>
              <w:t>Wilcoxon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vs. HW</w:t>
            </w:r>
          </w:p>
        </w:tc>
      </w:tr>
      <w:tr w:rsidR="003E4331" w14:paraId="7E7DF3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50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C5EDC4" w14:textId="77777777" w:rsidR="003E4331" w:rsidRDefault="00000000">
            <w:r>
              <w:rPr>
                <w:sz w:val="17"/>
                <w:szCs w:val="17"/>
              </w:rPr>
              <w:t>Holt-Winters</w:t>
            </w:r>
          </w:p>
        </w:tc>
        <w:tc>
          <w:tcPr>
            <w:tcW w:w="1650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3F6E24" w14:textId="77777777" w:rsidR="003E4331" w:rsidRDefault="00000000">
            <w:pPr>
              <w:jc w:val="center"/>
            </w:pPr>
            <w:r>
              <w:rPr>
                <w:sz w:val="17"/>
                <w:szCs w:val="17"/>
              </w:rPr>
              <w:t>8,87%</w:t>
            </w:r>
          </w:p>
        </w:tc>
        <w:tc>
          <w:tcPr>
            <w:tcW w:w="1650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713152" w14:textId="028A55BD" w:rsidR="003E4331" w:rsidRDefault="006920AE">
            <w:pPr>
              <w:jc w:val="center"/>
            </w:pPr>
            <w:r>
              <w:rPr>
                <w:sz w:val="17"/>
                <w:szCs w:val="17"/>
              </w:rPr>
              <w:t>-</w:t>
            </w:r>
          </w:p>
        </w:tc>
      </w:tr>
      <w:tr w:rsidR="003E4331" w14:paraId="63DA64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50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E9BDA2" w14:textId="77777777" w:rsidR="003E4331" w:rsidRDefault="00000000">
            <w:proofErr w:type="spellStart"/>
            <w:r>
              <w:rPr>
                <w:sz w:val="17"/>
                <w:szCs w:val="17"/>
              </w:rPr>
              <w:t>Gradient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Boosting</w:t>
            </w:r>
            <w:proofErr w:type="spellEnd"/>
          </w:p>
        </w:tc>
        <w:tc>
          <w:tcPr>
            <w:tcW w:w="1650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1CD288" w14:textId="77777777" w:rsidR="003E4331" w:rsidRDefault="00000000">
            <w:pPr>
              <w:jc w:val="center"/>
            </w:pPr>
            <w:r>
              <w:rPr>
                <w:sz w:val="17"/>
                <w:szCs w:val="17"/>
              </w:rPr>
              <w:t>10,10%</w:t>
            </w:r>
          </w:p>
        </w:tc>
        <w:tc>
          <w:tcPr>
            <w:tcW w:w="1650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C58DB7" w14:textId="77777777" w:rsidR="003E4331" w:rsidRDefault="00000000">
            <w:pPr>
              <w:jc w:val="center"/>
            </w:pPr>
            <w:r>
              <w:rPr>
                <w:sz w:val="17"/>
                <w:szCs w:val="17"/>
              </w:rPr>
              <w:t>p = 0,035</w:t>
            </w:r>
          </w:p>
        </w:tc>
      </w:tr>
      <w:tr w:rsidR="003E4331" w14:paraId="35081C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50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5F6BFC" w14:textId="77777777" w:rsidR="003E4331" w:rsidRDefault="00000000">
            <w:r>
              <w:rPr>
                <w:sz w:val="17"/>
                <w:szCs w:val="17"/>
              </w:rPr>
              <w:t>LSTM</w:t>
            </w:r>
          </w:p>
        </w:tc>
        <w:tc>
          <w:tcPr>
            <w:tcW w:w="1650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BE74BF" w14:textId="77777777" w:rsidR="003E4331" w:rsidRDefault="00000000">
            <w:pPr>
              <w:jc w:val="center"/>
            </w:pPr>
            <w:r>
              <w:rPr>
                <w:sz w:val="17"/>
                <w:szCs w:val="17"/>
              </w:rPr>
              <w:t>14,27%</w:t>
            </w:r>
          </w:p>
        </w:tc>
        <w:tc>
          <w:tcPr>
            <w:tcW w:w="1650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9180D4" w14:textId="77777777" w:rsidR="003E4331" w:rsidRDefault="00000000">
            <w:pPr>
              <w:jc w:val="center"/>
            </w:pPr>
            <w:r>
              <w:rPr>
                <w:sz w:val="17"/>
                <w:szCs w:val="17"/>
              </w:rPr>
              <w:t>p &lt; 0,001</w:t>
            </w:r>
          </w:p>
        </w:tc>
      </w:tr>
    </w:tbl>
    <w:p w14:paraId="13440CDB" w14:textId="77777777" w:rsidR="003E4331" w:rsidRDefault="00000000">
      <w:pPr>
        <w:spacing w:after="120" w:line="264" w:lineRule="auto"/>
        <w:ind w:firstLine="288"/>
        <w:jc w:val="both"/>
      </w:pPr>
      <w:r>
        <w:t xml:space="preserve">Os resultados confirmam o Holt-Winters como o modelo mais robusto ao longo do histórico, seguido pelo </w:t>
      </w:r>
      <w:proofErr w:type="spellStart"/>
      <w:r>
        <w:t>Gradient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, com o LSTM apresentando o pior desempenho médio entre os três. As diferenças são estatisticamente significativas pelo teste de </w:t>
      </w:r>
      <w:proofErr w:type="spellStart"/>
      <w:r>
        <w:t>Wilcoxon</w:t>
      </w:r>
      <w:proofErr w:type="spellEnd"/>
      <w:r>
        <w:t xml:space="preserve"> pareado (não paramétrico, adequado pois o teste de Shapiro-Wilk rejeitou a normalidade das diferenças entre os modelos).</w:t>
      </w:r>
    </w:p>
    <w:p w14:paraId="34ADE0E3" w14:textId="34E51AF0" w:rsidR="003E4331" w:rsidRDefault="00000000">
      <w:pPr>
        <w:spacing w:after="120" w:line="264" w:lineRule="auto"/>
        <w:ind w:firstLine="288"/>
        <w:jc w:val="both"/>
      </w:pPr>
      <w:r>
        <w:t xml:space="preserve">A dispersão entre janelas reforça essa leitura. O Holt-Winters apresenta desvio-padrão de 3,28 </w:t>
      </w:r>
      <w:proofErr w:type="spellStart"/>
      <w:r>
        <w:t>p.p</w:t>
      </w:r>
      <w:proofErr w:type="spellEnd"/>
      <w:r>
        <w:t xml:space="preserve">. e mediana de 9,35% </w:t>
      </w:r>
      <w:r w:rsidR="006920AE">
        <w:t>-</w:t>
      </w:r>
      <w:r>
        <w:t xml:space="preserve"> próxima da própria média (8,87%) </w:t>
      </w:r>
      <w:r w:rsidR="006920AE">
        <w:t>-</w:t>
      </w:r>
      <w:r>
        <w:t xml:space="preserve">, indicando desempenho consistente ao longo do histórico. Já o LSTM apresenta desvio-padrão de 6,51 </w:t>
      </w:r>
      <w:proofErr w:type="spellStart"/>
      <w:r>
        <w:t>p.p</w:t>
      </w:r>
      <w:proofErr w:type="spellEnd"/>
      <w:r>
        <w:t>. e mediana de 12,01%, abaixo de sua própria média (14,27%): um sinal de distribuição assimétrica, em que a média é puxada para cima por um subconjunto de janelas de erro elevado (tipicamente períodos de choque, como 2008 e 2020), enquanto na maioria das janelas o erro do LSTM fica mais próximo da mediana.</w:t>
      </w:r>
    </w:p>
    <w:p w14:paraId="0D992834" w14:textId="15D4851D" w:rsidR="003E4331" w:rsidRDefault="00000000">
      <w:pPr>
        <w:spacing w:after="120" w:line="264" w:lineRule="auto"/>
        <w:ind w:firstLine="288"/>
        <w:jc w:val="both"/>
      </w:pPr>
      <w:r>
        <w:t xml:space="preserve">Esse comportamento explica por que a Tabela I e a Tabela IV parecem se contradizer. O resultado de 7,35% obtido pelo LSTM na Tabela I (janela única, </w:t>
      </w:r>
      <w:proofErr w:type="spellStart"/>
      <w:r>
        <w:t>abr</w:t>
      </w:r>
      <w:proofErr w:type="spellEnd"/>
      <w:r>
        <w:t xml:space="preserve">/2024–mar/2026) é compatível com a faixa "boa" dessa distribuição assimétrica </w:t>
      </w:r>
      <w:r w:rsidR="006920AE">
        <w:t>-</w:t>
      </w:r>
      <w:r>
        <w:t xml:space="preserve"> não representa o desempenho médio do modelo. Nesse período específico, a maior flexibilidade da rede recorrente permitiu reagir melhor à inflexão de curto prazo do "declínio de 2025" do que a componente de tendência aditiva do Holt-Winters, que tende a persistir extrapolando o crescimento passado; esse mesmo motivo penaliza o Holt-Winters nesse teste específico (16,48%, pior que sua própria média </w:t>
      </w:r>
      <w:proofErr w:type="spellStart"/>
      <w:r>
        <w:t>walk-forward</w:t>
      </w:r>
      <w:proofErr w:type="spellEnd"/>
      <w:r>
        <w:t xml:space="preserve"> de 8,87%). Em outras palavras, a Tabela I captura um caso favorável ao modelo mais instável dos dois, enquanto a Tabela IV mede o comportamento típico de cada modelo ao longo de múltiplos regimes históricos (crescimento, crises, pandemia e desaceleração recente) </w:t>
      </w:r>
      <w:r w:rsidR="006920AE">
        <w:t>-</w:t>
      </w:r>
      <w:r>
        <w:t xml:space="preserve"> e é essa última evidência, mais abrangente, que aponta o Holt-Winters como o modelo estatisticamente mais robusto para esta série. Optou-se, ainda assim, por manter o LSTM na geração da previsão apresentada na Seção VI, por ser o modelo </w:t>
      </w:r>
      <w:r w:rsidR="006920AE">
        <w:t>citado</w:t>
      </w:r>
      <w:r>
        <w:t xml:space="preserve"> </w:t>
      </w:r>
      <w:r w:rsidR="006920AE">
        <w:t>n</w:t>
      </w:r>
      <w:r>
        <w:t>a disciplina para este trabalho; a divergência entre o modelo pedagogicamente adotado e o modelo estatisticamente mais robusto é registrada aqui como parte da análise crítica do exercício.</w:t>
      </w:r>
    </w:p>
    <w:p w14:paraId="47A80E29" w14:textId="77777777" w:rsidR="003E4331" w:rsidRPr="006920AE" w:rsidRDefault="00000000">
      <w:pPr>
        <w:keepNext/>
        <w:spacing w:before="160" w:after="100"/>
        <w:rPr>
          <w:lang w:val="en-US"/>
        </w:rPr>
      </w:pPr>
      <w:r w:rsidRPr="006920AE">
        <w:rPr>
          <w:b/>
          <w:bCs/>
          <w:i/>
          <w:iCs/>
          <w:lang w:val="en-US"/>
        </w:rPr>
        <w:t>D. STL (Seasonal-Trend Decomposition using LOESS)</w:t>
      </w:r>
    </w:p>
    <w:p w14:paraId="15340860" w14:textId="30E0E8BA" w:rsidR="003E4331" w:rsidRDefault="00000000">
      <w:pPr>
        <w:spacing w:after="120" w:line="264" w:lineRule="auto"/>
        <w:ind w:firstLine="288"/>
        <w:jc w:val="both"/>
      </w:pPr>
      <w:r>
        <w:t>A decomposição STL foi aplicada para realizar a filtragem e decomposição estatística das séries temporais de consumo mensal. O algoritmo foi utilizado sobre a série histórica mensal contínua de 387 meses (</w:t>
      </w:r>
      <w:proofErr w:type="spellStart"/>
      <w:r>
        <w:t>jan</w:t>
      </w:r>
      <w:proofErr w:type="spellEnd"/>
      <w:r>
        <w:t>/1994–mar/2026), separando a série em três componentes aditivas: tendência (</w:t>
      </w:r>
      <w:proofErr w:type="spellStart"/>
      <w:r>
        <w:t>Tt</w:t>
      </w:r>
      <w:proofErr w:type="spellEnd"/>
      <w:r>
        <w:t xml:space="preserve">) </w:t>
      </w:r>
      <w:r w:rsidR="006920AE">
        <w:t>-</w:t>
      </w:r>
      <w:r>
        <w:t xml:space="preserve"> trajetória de crescimento ou retração econômica de longo prazo; sazonalidade (</w:t>
      </w:r>
      <w:proofErr w:type="spellStart"/>
      <w:r>
        <w:t>St</w:t>
      </w:r>
      <w:proofErr w:type="spellEnd"/>
      <w:r>
        <w:t xml:space="preserve">) </w:t>
      </w:r>
      <w:r w:rsidR="006920AE">
        <w:t>-</w:t>
      </w:r>
      <w:r>
        <w:t xml:space="preserve"> ciclos repetitivos anuais, com picos estivais de verão devido ao uso de climatização; e resíduo (</w:t>
      </w:r>
      <w:proofErr w:type="spellStart"/>
      <w:r>
        <w:t>Rt</w:t>
      </w:r>
      <w:proofErr w:type="spellEnd"/>
      <w:r>
        <w:t xml:space="preserve">) </w:t>
      </w:r>
      <w:r w:rsidR="006920AE">
        <w:t>-</w:t>
      </w:r>
      <w:r>
        <w:t xml:space="preserve"> oscilações estocásticas, ruídos e choques atípicos pontuais (como o racionamento de 2001, a crise de 2008 e a pandemia de COVID-19 em 2020).</w:t>
      </w:r>
    </w:p>
    <w:p w14:paraId="0831F750" w14:textId="05C66725" w:rsidR="003E4331" w:rsidRDefault="00000000">
      <w:pPr>
        <w:keepNext/>
        <w:spacing w:before="200" w:after="80"/>
        <w:jc w:val="center"/>
      </w:pPr>
      <w:r>
        <w:rPr>
          <w:sz w:val="17"/>
          <w:szCs w:val="17"/>
        </w:rPr>
        <w:t>TABLE II</w:t>
      </w:r>
      <w:r>
        <w:rPr>
          <w:sz w:val="17"/>
          <w:szCs w:val="17"/>
        </w:rPr>
        <w:br/>
        <w:t xml:space="preserve"> FORÇA DE TENDÊNCIA E SAZONALIDADE </w:t>
      </w:r>
      <w:r w:rsidR="006920AE">
        <w:rPr>
          <w:sz w:val="17"/>
          <w:szCs w:val="17"/>
        </w:rPr>
        <w:t>-</w:t>
      </w:r>
      <w:r>
        <w:rPr>
          <w:sz w:val="17"/>
          <w:szCs w:val="17"/>
        </w:rPr>
        <w:t xml:space="preserve"> DECOMPOSIÇÃO STL (SUBGRUPO B3)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6"/>
        <w:gridCol w:w="1256"/>
        <w:gridCol w:w="1256"/>
        <w:gridCol w:w="1161"/>
      </w:tblGrid>
      <w:tr w:rsidR="003E4331" w14:paraId="3E545F0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0" w:type="pct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E96085" w14:textId="77777777" w:rsidR="003E4331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Classe</w:t>
            </w:r>
          </w:p>
        </w:tc>
        <w:tc>
          <w:tcPr>
            <w:tcW w:w="900" w:type="pct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28D1D1" w14:textId="77777777" w:rsidR="003E4331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FT</w:t>
            </w:r>
          </w:p>
        </w:tc>
        <w:tc>
          <w:tcPr>
            <w:tcW w:w="900" w:type="pct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061060" w14:textId="77777777" w:rsidR="003E4331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FS</w:t>
            </w:r>
          </w:p>
        </w:tc>
        <w:tc>
          <w:tcPr>
            <w:tcW w:w="2100" w:type="pct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AEF75B" w14:textId="77777777" w:rsidR="003E4331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Interpretação</w:t>
            </w:r>
          </w:p>
        </w:tc>
      </w:tr>
      <w:tr w:rsidR="003E4331" w14:paraId="6F3915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50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CDC0B8" w14:textId="77777777" w:rsidR="003E4331" w:rsidRDefault="00000000">
            <w:pPr>
              <w:jc w:val="center"/>
            </w:pPr>
            <w:r>
              <w:rPr>
                <w:sz w:val="17"/>
                <w:szCs w:val="17"/>
              </w:rPr>
              <w:t>Comercial (B3)</w:t>
            </w:r>
          </w:p>
        </w:tc>
        <w:tc>
          <w:tcPr>
            <w:tcW w:w="1650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672964" w14:textId="77777777" w:rsidR="003E4331" w:rsidRDefault="00000000">
            <w:pPr>
              <w:jc w:val="center"/>
            </w:pPr>
            <w:r>
              <w:rPr>
                <w:sz w:val="17"/>
                <w:szCs w:val="17"/>
              </w:rPr>
              <w:t>0,9758</w:t>
            </w:r>
          </w:p>
        </w:tc>
        <w:tc>
          <w:tcPr>
            <w:tcW w:w="1650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AB8CEF" w14:textId="77777777" w:rsidR="003E4331" w:rsidRDefault="00000000">
            <w:pPr>
              <w:jc w:val="center"/>
            </w:pPr>
            <w:r>
              <w:rPr>
                <w:sz w:val="17"/>
                <w:szCs w:val="17"/>
              </w:rPr>
              <w:t>0,8252</w:t>
            </w:r>
          </w:p>
        </w:tc>
        <w:tc>
          <w:tcPr>
            <w:tcW w:w="1650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4AA216" w14:textId="77777777" w:rsidR="003E4331" w:rsidRDefault="00000000">
            <w:r>
              <w:rPr>
                <w:sz w:val="17"/>
                <w:szCs w:val="17"/>
              </w:rPr>
              <w:t>Trajetória ascendente expressiva (FT &gt; 97%); padrão sazonal muito previsível (FS &gt; 82%)</w:t>
            </w:r>
          </w:p>
        </w:tc>
      </w:tr>
    </w:tbl>
    <w:p w14:paraId="7C02BA49" w14:textId="77777777" w:rsidR="003E4331" w:rsidRDefault="00000000">
      <w:pPr>
        <w:spacing w:before="200" w:after="60"/>
        <w:jc w:val="center"/>
      </w:pPr>
      <w:r>
        <w:rPr>
          <w:noProof/>
        </w:rPr>
        <w:drawing>
          <wp:inline distT="0" distB="0" distL="0" distR="0" wp14:anchorId="297B6336" wp14:editId="7D99D160">
            <wp:extent cx="3019425" cy="1924050"/>
            <wp:effectExtent l="0" t="0" r="0" b="0"/>
            <wp:docPr id="290904165" name="Imagem 290904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17457" w14:textId="77777777" w:rsidR="003E4331" w:rsidRDefault="00000000">
      <w:pPr>
        <w:spacing w:after="200"/>
        <w:jc w:val="center"/>
      </w:pPr>
      <w:r>
        <w:rPr>
          <w:sz w:val="17"/>
          <w:szCs w:val="17"/>
        </w:rPr>
        <w:t>Fig. 6.  Decomposição STL para o Subgrupo B3 CELESC.</w:t>
      </w:r>
    </w:p>
    <w:p w14:paraId="25C8DDC9" w14:textId="77777777" w:rsidR="003E4331" w:rsidRDefault="00000000">
      <w:pPr>
        <w:keepNext/>
        <w:spacing w:before="260" w:after="140"/>
        <w:jc w:val="center"/>
      </w:pPr>
      <w:r>
        <w:rPr>
          <w:b/>
          <w:bCs/>
          <w:caps/>
        </w:rPr>
        <w:t>VI. Previsão de Consumo (2026–2030)</w:t>
      </w:r>
    </w:p>
    <w:p w14:paraId="25F139FE" w14:textId="77777777" w:rsidR="003E4331" w:rsidRDefault="00000000">
      <w:pPr>
        <w:spacing w:after="120" w:line="264" w:lineRule="auto"/>
        <w:ind w:firstLine="288"/>
        <w:jc w:val="both"/>
      </w:pPr>
      <w:r>
        <w:t>O modelo LSTM foi retreinado com todo o histórico disponível (dez/1994–mar/2026) para gerar previsão recursiva mensal até dezembro de 2030 (57 meses à frente). Essa escolha segue o modelo especificado para o trabalho (Seção V.C); o Holt-Winters permanece como referência de robustez estatística, mas não foi usado nesta etapa de projeção.</w:t>
      </w:r>
    </w:p>
    <w:p w14:paraId="324A942D" w14:textId="77777777" w:rsidR="003E4331" w:rsidRDefault="00000000">
      <w:pPr>
        <w:spacing w:before="200" w:after="60"/>
        <w:jc w:val="center"/>
      </w:pPr>
      <w:r>
        <w:rPr>
          <w:noProof/>
        </w:rPr>
        <w:lastRenderedPageBreak/>
        <w:drawing>
          <wp:inline distT="0" distB="0" distL="0" distR="0" wp14:anchorId="11024A03" wp14:editId="1FDE0B91">
            <wp:extent cx="3019425" cy="1381125"/>
            <wp:effectExtent l="0" t="0" r="0" b="0"/>
            <wp:docPr id="1155938529" name="Imagem 11559385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34016" w14:textId="77777777" w:rsidR="003E4331" w:rsidRDefault="00000000">
      <w:pPr>
        <w:spacing w:after="200"/>
        <w:jc w:val="center"/>
      </w:pPr>
      <w:r>
        <w:rPr>
          <w:sz w:val="17"/>
          <w:szCs w:val="17"/>
        </w:rPr>
        <w:t>Fig. 7.  Histórico tratado e previsão LSTM até dez/2030. A banda sombreada é uma heurística de incerteza.</w:t>
      </w:r>
    </w:p>
    <w:p w14:paraId="4D5E7F9B" w14:textId="7F0AAE3E" w:rsidR="003E4331" w:rsidRDefault="00000000">
      <w:pPr>
        <w:spacing w:after="120" w:line="264" w:lineRule="auto"/>
        <w:ind w:firstLine="288"/>
        <w:jc w:val="both"/>
      </w:pPr>
      <w:r>
        <w:t xml:space="preserve">A previsão reflete o platô/desaceleração observado nos últimos anos da série, em vez de retomar o crescimento acentuado de 2008–2023. Dado o horizonte longo (57 meses) para um modelo treinado com cerca de 350 observações mensais, a incerteza cresce substancialmente ao longo da janela </w:t>
      </w:r>
      <w:r w:rsidR="006920AE">
        <w:t>-</w:t>
      </w:r>
      <w:r>
        <w:t xml:space="preserve"> a previsão para 2029–2030 deve ser lida com cautela bem maior que a de 2026–2027.</w:t>
      </w:r>
    </w:p>
    <w:p w14:paraId="3D5241A3" w14:textId="77777777" w:rsidR="003E4331" w:rsidRDefault="00000000">
      <w:pPr>
        <w:keepNext/>
        <w:spacing w:before="260" w:after="140"/>
        <w:jc w:val="center"/>
      </w:pPr>
      <w:r>
        <w:rPr>
          <w:b/>
          <w:bCs/>
          <w:caps/>
        </w:rPr>
        <w:t>VII. Integração da Previsão de Consumo com Tarifas e PLD</w:t>
      </w:r>
    </w:p>
    <w:p w14:paraId="17ACEC60" w14:textId="77777777" w:rsidR="003E4331" w:rsidRDefault="00000000">
      <w:pPr>
        <w:spacing w:after="120" w:line="264" w:lineRule="auto"/>
        <w:ind w:firstLine="288"/>
        <w:jc w:val="both"/>
      </w:pPr>
      <w:r>
        <w:t xml:space="preserve">Para viabilizar a simulação até dez/2030, as séries de tarifa ANEEL e de PLD Sul (que terminam em </w:t>
      </w:r>
      <w:proofErr w:type="spellStart"/>
      <w:r>
        <w:t>ago</w:t>
      </w:r>
      <w:proofErr w:type="spellEnd"/>
      <w:r>
        <w:t>/2027 e set/2026, respectivamente) foram estendidas com premissas explícitas:</w:t>
      </w:r>
    </w:p>
    <w:p w14:paraId="5FF4D067" w14:textId="77777777" w:rsidR="003E4331" w:rsidRDefault="00000000">
      <w:pPr>
        <w:spacing w:after="80" w:line="264" w:lineRule="auto"/>
        <w:ind w:left="504" w:hanging="215"/>
        <w:jc w:val="both"/>
      </w:pPr>
      <w:r>
        <w:t xml:space="preserve">•  Tarifa B3 (Cativo): mantida nos valores homologados até </w:t>
      </w:r>
      <w:proofErr w:type="spellStart"/>
      <w:r>
        <w:t>ago</w:t>
      </w:r>
      <w:proofErr w:type="spellEnd"/>
      <w:r>
        <w:t>/2027; após essa data, projetada com crescimento composto de 6% ao ano (mediana histórica 2011–2027);</w:t>
      </w:r>
    </w:p>
    <w:p w14:paraId="4DEBDBBB" w14:textId="77777777" w:rsidR="003E4331" w:rsidRDefault="00000000">
      <w:pPr>
        <w:spacing w:after="80" w:line="264" w:lineRule="auto"/>
        <w:ind w:left="504" w:hanging="215"/>
        <w:jc w:val="both"/>
      </w:pPr>
      <w:r>
        <w:t>•  PLD Sul (proxy Livre): mantido nos valores observados até set/2026; após essa data, projetado pela média sazonal mensal do calendário (período 2021–2026).</w:t>
      </w:r>
    </w:p>
    <w:p w14:paraId="6C596661" w14:textId="77777777" w:rsidR="003E4331" w:rsidRDefault="00000000">
      <w:pPr>
        <w:spacing w:after="120" w:line="264" w:lineRule="auto"/>
        <w:ind w:firstLine="288"/>
        <w:jc w:val="both"/>
      </w:pPr>
      <w:r>
        <w:t>É importante reiterar que ambas as previsões são premissas de extrapolação, não sendo previsões oficiais da ANEEL ou da CCEE, e que também não incorporam eventos futuros (novos leilões, mudanças regulatórias, anos hidrológicos atípicos, entre outros).</w:t>
      </w:r>
    </w:p>
    <w:p w14:paraId="3CB98216" w14:textId="77777777" w:rsidR="003E4331" w:rsidRDefault="00000000">
      <w:pPr>
        <w:keepNext/>
        <w:spacing w:before="260" w:after="140"/>
        <w:jc w:val="center"/>
      </w:pPr>
      <w:r>
        <w:rPr>
          <w:b/>
          <w:bCs/>
          <w:caps/>
        </w:rPr>
        <w:t>VIII. Simulação Financeira: Cativo x Livre</w:t>
      </w:r>
    </w:p>
    <w:p w14:paraId="33C060BB" w14:textId="77777777" w:rsidR="003E4331" w:rsidRDefault="00000000">
      <w:pPr>
        <w:spacing w:after="120" w:line="264" w:lineRule="auto"/>
        <w:ind w:firstLine="288"/>
        <w:jc w:val="both"/>
      </w:pPr>
      <w:r>
        <w:t>Custo mensal Cativo = consumo previsto (MWh) × (TUSD</w:t>
      </w:r>
      <w:r>
        <w:rPr>
          <w:vertAlign w:val="subscript"/>
        </w:rPr>
        <w:t>B3</w:t>
      </w:r>
      <w:r>
        <w:t xml:space="preserve"> + TE</w:t>
      </w:r>
      <w:r>
        <w:rPr>
          <w:vertAlign w:val="subscript"/>
        </w:rPr>
        <w:t>B3</w:t>
      </w:r>
      <w:r>
        <w:t>).</w:t>
      </w:r>
    </w:p>
    <w:p w14:paraId="764BBE7F" w14:textId="77777777" w:rsidR="003E4331" w:rsidRDefault="00000000">
      <w:pPr>
        <w:spacing w:after="120" w:line="264" w:lineRule="auto"/>
        <w:ind w:firstLine="288"/>
        <w:jc w:val="both"/>
      </w:pPr>
      <w:r>
        <w:t>Custo mensal Livre = consumo previsto (MWh) × (TUSD</w:t>
      </w:r>
      <w:r>
        <w:rPr>
          <w:vertAlign w:val="subscript"/>
        </w:rPr>
        <w:t>B3</w:t>
      </w:r>
      <w:r>
        <w:t xml:space="preserve"> + </w:t>
      </w:r>
      <w:proofErr w:type="spellStart"/>
      <w:r>
        <w:t>PLD</w:t>
      </w:r>
      <w:r>
        <w:rPr>
          <w:vertAlign w:val="subscript"/>
        </w:rPr>
        <w:t>Sul</w:t>
      </w:r>
      <w:proofErr w:type="spellEnd"/>
      <w:r>
        <w:t>).</w:t>
      </w:r>
    </w:p>
    <w:p w14:paraId="52D802CD" w14:textId="339222B4" w:rsidR="003E4331" w:rsidRDefault="00000000">
      <w:pPr>
        <w:spacing w:after="120" w:line="264" w:lineRule="auto"/>
        <w:ind w:firstLine="288"/>
        <w:jc w:val="both"/>
      </w:pPr>
      <w:r>
        <w:t xml:space="preserve">Em ambos os cenários, o consumidor paga a mesma TUSD (uso da rede de distribuição, que não muda com a migração) </w:t>
      </w:r>
      <w:r w:rsidR="006920AE">
        <w:t>-</w:t>
      </w:r>
      <w:r>
        <w:t xml:space="preserve"> a diferença está inteiramente no componente de energia (TE regulado vs. PLD de mercado).</w:t>
      </w:r>
    </w:p>
    <w:p w14:paraId="43F04545" w14:textId="77777777" w:rsidR="003E4331" w:rsidRDefault="00000000">
      <w:pPr>
        <w:spacing w:after="120" w:line="264" w:lineRule="auto"/>
        <w:ind w:firstLine="288"/>
        <w:jc w:val="both"/>
      </w:pPr>
      <w:r>
        <w:t>Para a extrapolação 2026–2030, usou-se a média sazonal por mês calendário do período recente (2021–2026), dado o caráter volátil e não previsível do PLD no longo prazo.</w:t>
      </w:r>
    </w:p>
    <w:p w14:paraId="739E36E3" w14:textId="77777777" w:rsidR="003E4331" w:rsidRDefault="00000000">
      <w:pPr>
        <w:spacing w:before="200" w:after="60"/>
        <w:jc w:val="center"/>
      </w:pPr>
      <w:r>
        <w:rPr>
          <w:noProof/>
        </w:rPr>
        <w:drawing>
          <wp:inline distT="0" distB="0" distL="0" distR="0" wp14:anchorId="246E6F2D" wp14:editId="3BABDF59">
            <wp:extent cx="3019425" cy="2009775"/>
            <wp:effectExtent l="0" t="0" r="0" b="0"/>
            <wp:docPr id="1150836281" name="Imagem 1150836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CA5F7" w14:textId="77777777" w:rsidR="003E4331" w:rsidRDefault="00000000">
      <w:pPr>
        <w:spacing w:after="200"/>
        <w:jc w:val="center"/>
      </w:pPr>
      <w:r>
        <w:rPr>
          <w:sz w:val="17"/>
          <w:szCs w:val="17"/>
        </w:rPr>
        <w:t xml:space="preserve">Fig. 8.  Custo mensal projetado e economia percentual do cenário Livre frente ao Cativo, </w:t>
      </w:r>
      <w:proofErr w:type="spellStart"/>
      <w:r>
        <w:rPr>
          <w:sz w:val="17"/>
          <w:szCs w:val="17"/>
        </w:rPr>
        <w:t>abr</w:t>
      </w:r>
      <w:proofErr w:type="spellEnd"/>
      <w:r>
        <w:rPr>
          <w:sz w:val="17"/>
          <w:szCs w:val="17"/>
        </w:rPr>
        <w:t>/2026–dez/2030.</w:t>
      </w:r>
    </w:p>
    <w:p w14:paraId="5567C62D" w14:textId="77777777" w:rsidR="003E4331" w:rsidRDefault="00000000">
      <w:pPr>
        <w:keepNext/>
        <w:spacing w:before="200" w:after="80"/>
        <w:jc w:val="center"/>
      </w:pPr>
      <w:r>
        <w:rPr>
          <w:sz w:val="17"/>
          <w:szCs w:val="17"/>
        </w:rPr>
        <w:t>TABLE III</w:t>
      </w:r>
      <w:r>
        <w:rPr>
          <w:sz w:val="17"/>
          <w:szCs w:val="17"/>
        </w:rPr>
        <w:br/>
        <w:t xml:space="preserve"> INDICADORES DA SIMULAÇÃO FINANCEIRA CATIVO X LIVRE (ABR/2026–DEZ/2030)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4"/>
        <w:gridCol w:w="1725"/>
      </w:tblGrid>
      <w:tr w:rsidR="003E4331" w14:paraId="43893DB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50" w:type="pct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2A9733" w14:textId="77777777" w:rsidR="003E4331" w:rsidRDefault="00000000">
            <w:r>
              <w:rPr>
                <w:b/>
                <w:bCs/>
                <w:sz w:val="17"/>
                <w:szCs w:val="17"/>
              </w:rPr>
              <w:t>Indicador</w:t>
            </w:r>
          </w:p>
        </w:tc>
        <w:tc>
          <w:tcPr>
            <w:tcW w:w="1750" w:type="pct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F733C1" w14:textId="77777777" w:rsidR="003E4331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Valor</w:t>
            </w:r>
          </w:p>
        </w:tc>
      </w:tr>
      <w:tr w:rsidR="003E4331" w14:paraId="2B92C3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50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127892" w14:textId="1DC7C3DD" w:rsidR="003E4331" w:rsidRDefault="00000000">
            <w:r>
              <w:rPr>
                <w:sz w:val="17"/>
                <w:szCs w:val="17"/>
              </w:rPr>
              <w:t xml:space="preserve">Custo total projetado </w:t>
            </w:r>
            <w:r w:rsidR="006920AE">
              <w:rPr>
                <w:sz w:val="17"/>
                <w:szCs w:val="17"/>
              </w:rPr>
              <w:t>-</w:t>
            </w:r>
            <w:r>
              <w:rPr>
                <w:sz w:val="17"/>
                <w:szCs w:val="17"/>
              </w:rPr>
              <w:t xml:space="preserve"> Cativo</w:t>
            </w:r>
          </w:p>
        </w:tc>
        <w:tc>
          <w:tcPr>
            <w:tcW w:w="1650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A824A5" w14:textId="77777777" w:rsidR="003E4331" w:rsidRDefault="00000000">
            <w:pPr>
              <w:jc w:val="center"/>
            </w:pPr>
            <w:r>
              <w:rPr>
                <w:sz w:val="17"/>
                <w:szCs w:val="17"/>
              </w:rPr>
              <w:t>R$ 12,08 bilhões</w:t>
            </w:r>
          </w:p>
        </w:tc>
      </w:tr>
      <w:tr w:rsidR="003E4331" w14:paraId="628269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50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579D00" w14:textId="21C970D5" w:rsidR="003E4331" w:rsidRDefault="00000000">
            <w:r>
              <w:rPr>
                <w:sz w:val="17"/>
                <w:szCs w:val="17"/>
              </w:rPr>
              <w:t xml:space="preserve">Custo total projetado </w:t>
            </w:r>
            <w:r w:rsidR="006920AE">
              <w:rPr>
                <w:sz w:val="17"/>
                <w:szCs w:val="17"/>
              </w:rPr>
              <w:t>-</w:t>
            </w:r>
            <w:r>
              <w:rPr>
                <w:sz w:val="17"/>
                <w:szCs w:val="17"/>
              </w:rPr>
              <w:t xml:space="preserve"> Livre/PLD</w:t>
            </w:r>
          </w:p>
        </w:tc>
        <w:tc>
          <w:tcPr>
            <w:tcW w:w="1650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2ECD30" w14:textId="77777777" w:rsidR="003E4331" w:rsidRDefault="00000000">
            <w:pPr>
              <w:jc w:val="center"/>
            </w:pPr>
            <w:r>
              <w:rPr>
                <w:sz w:val="17"/>
                <w:szCs w:val="17"/>
              </w:rPr>
              <w:t>R$ 9,02 bilhões</w:t>
            </w:r>
          </w:p>
        </w:tc>
      </w:tr>
      <w:tr w:rsidR="003E4331" w14:paraId="6AACDF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50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08D848" w14:textId="77777777" w:rsidR="003E4331" w:rsidRDefault="00000000">
            <w:r>
              <w:rPr>
                <w:sz w:val="17"/>
                <w:szCs w:val="17"/>
              </w:rPr>
              <w:t>Economia projetada (Livre − Cativo)</w:t>
            </w:r>
          </w:p>
        </w:tc>
        <w:tc>
          <w:tcPr>
            <w:tcW w:w="1650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5E1734" w14:textId="77777777" w:rsidR="003E4331" w:rsidRDefault="00000000">
            <w:pPr>
              <w:jc w:val="center"/>
            </w:pPr>
            <w:r>
              <w:rPr>
                <w:sz w:val="17"/>
                <w:szCs w:val="17"/>
              </w:rPr>
              <w:t>R$ 3,05 bilhões</w:t>
            </w:r>
          </w:p>
        </w:tc>
      </w:tr>
      <w:tr w:rsidR="003E4331" w14:paraId="1796EB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50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0A5217" w14:textId="77777777" w:rsidR="003E4331" w:rsidRDefault="00000000">
            <w:r>
              <w:rPr>
                <w:sz w:val="17"/>
                <w:szCs w:val="17"/>
              </w:rPr>
              <w:t>Economia média mensal</w:t>
            </w:r>
          </w:p>
        </w:tc>
        <w:tc>
          <w:tcPr>
            <w:tcW w:w="1650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FBF29A" w14:textId="77777777" w:rsidR="003E4331" w:rsidRDefault="00000000">
            <w:pPr>
              <w:jc w:val="center"/>
            </w:pPr>
            <w:r>
              <w:rPr>
                <w:sz w:val="17"/>
                <w:szCs w:val="17"/>
              </w:rPr>
              <w:t>25,2%</w:t>
            </w:r>
          </w:p>
        </w:tc>
      </w:tr>
      <w:tr w:rsidR="003E4331" w14:paraId="332759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50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CC6A25" w14:textId="77777777" w:rsidR="003E4331" w:rsidRDefault="00000000">
            <w:r>
              <w:rPr>
                <w:sz w:val="17"/>
                <w:szCs w:val="17"/>
              </w:rPr>
              <w:t>Faixa de economia mensal (mín.–máx.)</w:t>
            </w:r>
          </w:p>
        </w:tc>
        <w:tc>
          <w:tcPr>
            <w:tcW w:w="1650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10CA23" w14:textId="77777777" w:rsidR="003E4331" w:rsidRDefault="00000000">
            <w:pPr>
              <w:jc w:val="center"/>
            </w:pPr>
            <w:r>
              <w:rPr>
                <w:sz w:val="17"/>
                <w:szCs w:val="17"/>
              </w:rPr>
              <w:t>10,8% a 34,7%</w:t>
            </w:r>
          </w:p>
        </w:tc>
      </w:tr>
      <w:tr w:rsidR="003E4331" w14:paraId="19C7D5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50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9364F1" w14:textId="22FDFECD" w:rsidR="003E4331" w:rsidRDefault="00000000">
            <w:r>
              <w:rPr>
                <w:sz w:val="17"/>
                <w:szCs w:val="17"/>
              </w:rPr>
              <w:t>Livre é mais barato que Cativo</w:t>
            </w:r>
            <w:r w:rsidR="00383562">
              <w:rPr>
                <w:sz w:val="17"/>
                <w:szCs w:val="17"/>
              </w:rPr>
              <w:t xml:space="preserve"> (meses)</w:t>
            </w:r>
          </w:p>
        </w:tc>
        <w:tc>
          <w:tcPr>
            <w:tcW w:w="1650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942121" w14:textId="77777777" w:rsidR="003E4331" w:rsidRDefault="00000000">
            <w:pPr>
              <w:jc w:val="center"/>
            </w:pPr>
            <w:r>
              <w:rPr>
                <w:sz w:val="17"/>
                <w:szCs w:val="17"/>
              </w:rPr>
              <w:t>57 de 57 (100%)</w:t>
            </w:r>
          </w:p>
        </w:tc>
      </w:tr>
    </w:tbl>
    <w:p w14:paraId="2267480F" w14:textId="77777777" w:rsidR="003E4331" w:rsidRDefault="00000000">
      <w:pPr>
        <w:spacing w:after="120" w:line="264" w:lineRule="auto"/>
        <w:ind w:firstLine="288"/>
        <w:jc w:val="both"/>
      </w:pPr>
      <w:r>
        <w:t>Os valores totais são para o agregado estadual do Subgrupo B3 Comercial Cativo (cerca de 344 mil UCs em mar/2026); o percentual de economia é aplicado proporcionalmente a uma única unidade consumidora média.</w:t>
      </w:r>
    </w:p>
    <w:p w14:paraId="6F442231" w14:textId="77777777" w:rsidR="003E4331" w:rsidRDefault="00000000">
      <w:pPr>
        <w:keepNext/>
        <w:spacing w:before="260" w:after="140"/>
        <w:jc w:val="center"/>
      </w:pPr>
      <w:r>
        <w:rPr>
          <w:b/>
          <w:bCs/>
          <w:caps/>
        </w:rPr>
        <w:t>IX. Aspectos Críticos na Tomada de Decisão de Migração</w:t>
      </w:r>
    </w:p>
    <w:p w14:paraId="23E09B3A" w14:textId="77777777" w:rsidR="003E4331" w:rsidRDefault="00000000">
      <w:pPr>
        <w:spacing w:after="120" w:line="264" w:lineRule="auto"/>
        <w:ind w:firstLine="288"/>
        <w:jc w:val="both"/>
      </w:pPr>
      <w:r>
        <w:t>A migração não se resume à diferença de preço de energia. O esforço total deve considerar outros aspectos contratuais do mercado:</w:t>
      </w:r>
    </w:p>
    <w:p w14:paraId="7AAFC96C" w14:textId="77777777" w:rsidR="003E4331" w:rsidRDefault="00000000">
      <w:pPr>
        <w:spacing w:after="80" w:line="264" w:lineRule="auto"/>
        <w:ind w:left="504" w:hanging="215"/>
        <w:jc w:val="both"/>
      </w:pPr>
      <w:r>
        <w:t>•  Prazo de contratação: o mercado livre permite fechar contratos de curto prazo (1 a 2 anos) ou longo prazo (3 a 5 anos). Prazos maiores oferecem alta previsibilidade de fluxo de caixa contra a volatilidade das tarifas, mas podem travar o consumidor em tarifas altas caso o mercado passe por um período de queda acentuada de preços (por exemplo, em anos de hidrologia favorável);</w:t>
      </w:r>
    </w:p>
    <w:p w14:paraId="44CF2DC5" w14:textId="77777777" w:rsidR="003E4331" w:rsidRDefault="00000000">
      <w:pPr>
        <w:spacing w:after="80" w:line="264" w:lineRule="auto"/>
        <w:ind w:left="504" w:hanging="215"/>
        <w:jc w:val="both"/>
      </w:pPr>
      <w:r>
        <w:t>•  Preços e indexação: negociação de preços fixos ou indexados a índices inflacionários como o IPCA ou o IGP-M. O projeto avalia o impacto da inflação sobre contratos de longo prazo no ACL em comparação com os reajustes anuais homologados pela ANEEL para a CELESC;</w:t>
      </w:r>
    </w:p>
    <w:p w14:paraId="5B1BAA05" w14:textId="77777777" w:rsidR="003E4331" w:rsidRDefault="00000000">
      <w:pPr>
        <w:spacing w:after="80" w:line="264" w:lineRule="auto"/>
        <w:ind w:left="504" w:hanging="215"/>
        <w:jc w:val="both"/>
      </w:pPr>
      <w:r>
        <w:lastRenderedPageBreak/>
        <w:t>•  Take-</w:t>
      </w:r>
      <w:proofErr w:type="spellStart"/>
      <w:r>
        <w:t>or</w:t>
      </w:r>
      <w:proofErr w:type="spellEnd"/>
      <w:r>
        <w:t>-</w:t>
      </w:r>
      <w:proofErr w:type="spellStart"/>
      <w:r>
        <w:t>pay</w:t>
      </w:r>
      <w:proofErr w:type="spellEnd"/>
      <w:r>
        <w:t xml:space="preserve"> (sobra/déficit): cláusula que estabelece limites mínimos e máximos de consumo em relação ao volume contratado (geralmente com flexibilidade de ±10%). Se o consumidor consumir menos que a flexibilidade inferior, paga por energia que não utilizou; se consumir mais que o limite superior, precisa comprar o excedente no mercado de curto prazo (ao PLD da CCEE), correndo o risco de preços elevados;</w:t>
      </w:r>
    </w:p>
    <w:p w14:paraId="4F565848" w14:textId="77777777" w:rsidR="003E4331" w:rsidRDefault="00000000">
      <w:pPr>
        <w:spacing w:after="80" w:line="264" w:lineRule="auto"/>
        <w:ind w:left="504" w:hanging="215"/>
        <w:jc w:val="both"/>
      </w:pPr>
      <w:r>
        <w:t xml:space="preserve">•  </w:t>
      </w:r>
      <w:proofErr w:type="spellStart"/>
      <w:r>
        <w:t>Sazonalização</w:t>
      </w:r>
      <w:proofErr w:type="spellEnd"/>
      <w:r>
        <w:t xml:space="preserve"> e modulação: a habilidade de distribuir a energia contratada ao longo dos meses do ano, acompanhando o perfil de consumo real. É aqui que entra a importância prática do modelo de IA: projetar com a melhor precisão possível o perfil de consumo sazonal, como o aumento mais expressivo no verão identificado pela decomposição STL do B3.</w:t>
      </w:r>
    </w:p>
    <w:p w14:paraId="3E85B386" w14:textId="77777777" w:rsidR="003E4331" w:rsidRDefault="00000000">
      <w:pPr>
        <w:spacing w:before="200" w:after="60"/>
        <w:jc w:val="center"/>
      </w:pPr>
      <w:r>
        <w:rPr>
          <w:noProof/>
        </w:rPr>
        <w:drawing>
          <wp:inline distT="0" distB="0" distL="0" distR="0" wp14:anchorId="4BA4368B" wp14:editId="75CD4AD5">
            <wp:extent cx="3019425" cy="1114425"/>
            <wp:effectExtent l="0" t="0" r="0" b="0"/>
            <wp:docPr id="566383275" name="Imagem 566383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4EEB4" w14:textId="77777777" w:rsidR="003E4331" w:rsidRDefault="00000000">
      <w:pPr>
        <w:spacing w:after="200"/>
        <w:jc w:val="center"/>
      </w:pPr>
      <w:r>
        <w:rPr>
          <w:sz w:val="17"/>
          <w:szCs w:val="17"/>
        </w:rPr>
        <w:t>Fig. 9.  Exposição a variações sazonais de consumo real x contrato de longo prazo.</w:t>
      </w:r>
    </w:p>
    <w:p w14:paraId="31862CC2" w14:textId="77777777" w:rsidR="003E4331" w:rsidRDefault="00000000">
      <w:pPr>
        <w:keepNext/>
        <w:spacing w:before="260" w:after="140"/>
        <w:jc w:val="center"/>
      </w:pPr>
      <w:r>
        <w:rPr>
          <w:b/>
          <w:bCs/>
          <w:caps/>
        </w:rPr>
        <w:t>X. Limitações da Análise Financeira</w:t>
      </w:r>
    </w:p>
    <w:p w14:paraId="036FDF41" w14:textId="6C16F20B" w:rsidR="003E4331" w:rsidRDefault="00000000">
      <w:pPr>
        <w:spacing w:after="80" w:line="264" w:lineRule="auto"/>
        <w:ind w:left="504" w:hanging="215"/>
        <w:jc w:val="both"/>
      </w:pPr>
      <w:r>
        <w:t xml:space="preserve">•  O PLD não é o preço que um consumidor B3 pagaria estando no ACL. Trata-se do preço de liquidação do mercado de curto prazo (spot), usado para acertar diferenças entre contratos e consumo real. Um consumidor migrado tipicamente contrata energia via comercializadora ou contrato bilateral, a um preço que embute prêmio de risco sobre a volatilidade do PLD e margem da comercializadora, e não acompanha o PLD mês a mês </w:t>
      </w:r>
      <w:r w:rsidR="006920AE">
        <w:t>-</w:t>
      </w:r>
      <w:r>
        <w:t xml:space="preserve"> o modelo adotado, portanto, subestima o custo real de estar no mercado livre;</w:t>
      </w:r>
    </w:p>
    <w:p w14:paraId="75D46CBE" w14:textId="77777777" w:rsidR="003E4331" w:rsidRDefault="00000000">
      <w:pPr>
        <w:spacing w:after="80" w:line="264" w:lineRule="auto"/>
        <w:ind w:left="504" w:hanging="215"/>
        <w:jc w:val="both"/>
      </w:pPr>
      <w:r>
        <w:t>•  Custos de operação no ACL não modelados: taxa de adesão e mensalidade CCEE, garantias financeiras, custos de gestão de portfólio/comercializadora e eventuais penalidades por desvio de contrato (sobra/déficit de energia contratada vs. consumida);</w:t>
      </w:r>
    </w:p>
    <w:p w14:paraId="715CB4B3" w14:textId="77777777" w:rsidR="003E4331" w:rsidRDefault="00000000">
      <w:pPr>
        <w:spacing w:after="80" w:line="264" w:lineRule="auto"/>
        <w:ind w:left="504" w:hanging="215"/>
        <w:jc w:val="both"/>
      </w:pPr>
      <w:r>
        <w:t>•  O modelo assume que 100% do consumo é exposto ao PLD (proxy de contrato 100% flexível); na prática, a maioria dos contratos livres tem parcela fixa, reduzindo a exposição à volatilidade e ao potencial de economia;</w:t>
      </w:r>
    </w:p>
    <w:p w14:paraId="0C8D24A7" w14:textId="77777777" w:rsidR="003E4331" w:rsidRDefault="00000000">
      <w:pPr>
        <w:spacing w:after="80" w:line="264" w:lineRule="auto"/>
        <w:ind w:left="504" w:hanging="215"/>
        <w:jc w:val="both"/>
      </w:pPr>
      <w:r>
        <w:t>•  A extrapolação de tarifa (6% a.a.) e de PLD (média sazonal 2021–2026) são premissas simples; choques regulatórios, hidrológicos ou de mercado podem alterar substancialmente os valores reais em 2027–2030;</w:t>
      </w:r>
    </w:p>
    <w:p w14:paraId="1DC3C441" w14:textId="77777777" w:rsidR="003E4331" w:rsidRDefault="00000000">
      <w:pPr>
        <w:spacing w:after="80" w:line="264" w:lineRule="auto"/>
        <w:ind w:left="504" w:hanging="215"/>
        <w:jc w:val="both"/>
      </w:pPr>
      <w:r>
        <w:t>•  A previsão de consumo via LSTM tem incerteza crescente ao longo do horizonte (57 meses), especialmente sensível para 2029–2030;</w:t>
      </w:r>
    </w:p>
    <w:p w14:paraId="7A4CC42E" w14:textId="77777777" w:rsidR="003E4331" w:rsidRDefault="00000000">
      <w:pPr>
        <w:spacing w:after="80" w:line="264" w:lineRule="auto"/>
        <w:ind w:left="504" w:hanging="215"/>
        <w:jc w:val="both"/>
      </w:pPr>
      <w:r>
        <w:t xml:space="preserve">•  </w:t>
      </w:r>
      <w:proofErr w:type="gramStart"/>
      <w:r>
        <w:t>A base da classe "Comercial Cativo"</w:t>
      </w:r>
      <w:proofErr w:type="gramEnd"/>
      <w:r>
        <w:t xml:space="preserve"> usada para o consumo é uma aproximação do Subgrupo B3 (ver relatório de tratamento de dados para a discussão completa desta e das demais limitações de dados).</w:t>
      </w:r>
    </w:p>
    <w:p w14:paraId="6E0F1F5B" w14:textId="77777777" w:rsidR="003E4331" w:rsidRDefault="00000000">
      <w:pPr>
        <w:keepNext/>
        <w:spacing w:before="260" w:after="140"/>
        <w:jc w:val="center"/>
      </w:pPr>
      <w:r>
        <w:rPr>
          <w:b/>
          <w:bCs/>
          <w:caps/>
        </w:rPr>
        <w:t>XI. Sobre a Vantajosidade da Migração</w:t>
      </w:r>
    </w:p>
    <w:p w14:paraId="5532CFA2" w14:textId="36E2FA8E" w:rsidR="003E4331" w:rsidRDefault="00000000">
      <w:pPr>
        <w:spacing w:after="120" w:line="264" w:lineRule="auto"/>
        <w:ind w:firstLine="288"/>
        <w:jc w:val="both"/>
      </w:pPr>
      <w:r>
        <w:t xml:space="preserve">Sob as premissas deste modelo, migrar ao mercado livre seria financeiramente vantajoso em todos os 57 meses projetados, com economia média de 25,2%. Essa conclusão qualitativa </w:t>
      </w:r>
      <w:r w:rsidR="006920AE">
        <w:t>-</w:t>
      </w:r>
      <w:r>
        <w:t xml:space="preserve"> energia via PLD tende a ser mais barata que a tarifa regulada TE nesse período </w:t>
      </w:r>
      <w:r w:rsidR="006920AE">
        <w:t>-</w:t>
      </w:r>
      <w:r>
        <w:t xml:space="preserve"> é consistente com o cenário de preços relativamente moderados observado no submercado Sul desde 2023, após o pico da crise hídrica de 2021.</w:t>
      </w:r>
    </w:p>
    <w:p w14:paraId="19545125" w14:textId="77777777" w:rsidR="003E4331" w:rsidRDefault="00000000">
      <w:pPr>
        <w:spacing w:after="120" w:line="264" w:lineRule="auto"/>
        <w:ind w:firstLine="288"/>
        <w:jc w:val="both"/>
      </w:pPr>
      <w:r>
        <w:t>Porém, este resultado representa um limite otimista da economia, não uma previsão do que um consumidor B3 realmente pagaria, conforme os dois episódios históricos a seguir demonstram:</w:t>
      </w:r>
    </w:p>
    <w:p w14:paraId="52B9C35E" w14:textId="77777777" w:rsidR="003E4331" w:rsidRDefault="00000000">
      <w:pPr>
        <w:spacing w:after="80" w:line="264" w:lineRule="auto"/>
        <w:ind w:left="504" w:hanging="215"/>
        <w:jc w:val="both"/>
      </w:pPr>
      <w:r>
        <w:t>•  A crise hídrica de 2021 (risco hidrológico real): durante o pior período de seca do histórico das principais bacias hidrográficas do país, o despacho contínuo de usinas termelétricas caras fez com que o PLD médio anual atingisse quase R$ 0,55/kWh (R$ 550/MWh). Para um consumidor comercial do Subgrupo B3 exposto ao curto prazo, ou que precisasse contratar energia no auge da crise hídrica, os custos adicionais no ACL (energia contratada a preços inflacionados, encargos do sistema da CCEE e TUSD Fio B paga à CELESC) superariam a tarifa regulada da distribuidora, que foi amortecida pelo colchão regulatório e pelos contratos de longo prazo da concessionária;</w:t>
      </w:r>
    </w:p>
    <w:p w14:paraId="3B88DF91" w14:textId="77777777" w:rsidR="003E4331" w:rsidRDefault="00000000">
      <w:pPr>
        <w:spacing w:after="80" w:line="264" w:lineRule="auto"/>
        <w:ind w:left="504" w:hanging="215"/>
        <w:jc w:val="both"/>
      </w:pPr>
      <w:r>
        <w:t xml:space="preserve">•  A redução de preços de 2022–2023 (bonança hidrológica): com afluências recordes e reservatórios cheios, o PLD despencou para o piso regulatório de R$ 69/MWh (R$ 0,069/kWh). Nesses anos úmidos, a tarifa livre média caiu acentuadamente e o </w:t>
      </w:r>
      <w:proofErr w:type="spellStart"/>
      <w:r>
        <w:t>saving</w:t>
      </w:r>
      <w:proofErr w:type="spellEnd"/>
      <w:r>
        <w:t xml:space="preserve"> do mercado livre saltou para 45,1% (2022) e 48,2% (2023), o que evidencia a forte </w:t>
      </w:r>
      <w:proofErr w:type="spellStart"/>
      <w:r>
        <w:t>estocasticidade</w:t>
      </w:r>
      <w:proofErr w:type="spellEnd"/>
      <w:r>
        <w:t xml:space="preserve"> do benefício financeiro.</w:t>
      </w:r>
    </w:p>
    <w:p w14:paraId="0CF57F2B" w14:textId="77777777" w:rsidR="003E4331" w:rsidRDefault="00000000">
      <w:pPr>
        <w:spacing w:before="200" w:after="60"/>
        <w:jc w:val="center"/>
      </w:pPr>
      <w:r>
        <w:rPr>
          <w:noProof/>
        </w:rPr>
        <w:drawing>
          <wp:inline distT="0" distB="0" distL="0" distR="0" wp14:anchorId="5FBCD380" wp14:editId="6A0AB4BB">
            <wp:extent cx="3019425" cy="1114425"/>
            <wp:effectExtent l="0" t="0" r="0" b="0"/>
            <wp:docPr id="433884314" name="Imagem 433884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C3EA8" w14:textId="77777777" w:rsidR="003E4331" w:rsidRDefault="00000000">
      <w:pPr>
        <w:spacing w:after="200"/>
        <w:jc w:val="center"/>
      </w:pPr>
      <w:r>
        <w:rPr>
          <w:sz w:val="17"/>
          <w:szCs w:val="17"/>
        </w:rPr>
        <w:lastRenderedPageBreak/>
        <w:t>Fig. 10.  Exposição a variações sazonais do PLD em função da hidrologia.</w:t>
      </w:r>
    </w:p>
    <w:p w14:paraId="739C890C" w14:textId="77777777" w:rsidR="003E4331" w:rsidRDefault="00000000">
      <w:pPr>
        <w:spacing w:before="200" w:after="60"/>
        <w:jc w:val="center"/>
      </w:pPr>
      <w:r>
        <w:rPr>
          <w:noProof/>
        </w:rPr>
        <w:drawing>
          <wp:inline distT="0" distB="0" distL="0" distR="0" wp14:anchorId="37C464F7" wp14:editId="04623B50">
            <wp:extent cx="3019425" cy="1381125"/>
            <wp:effectExtent l="0" t="0" r="0" b="0"/>
            <wp:docPr id="1447289495" name="Imagem 14472894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27F47" w14:textId="77777777" w:rsidR="003E4331" w:rsidRDefault="00000000">
      <w:pPr>
        <w:spacing w:after="200"/>
        <w:jc w:val="center"/>
      </w:pPr>
      <w:r>
        <w:rPr>
          <w:sz w:val="17"/>
          <w:szCs w:val="17"/>
        </w:rPr>
        <w:t>Fig. 11.  Análise de risco hidrológico.</w:t>
      </w:r>
    </w:p>
    <w:p w14:paraId="2D19B29E" w14:textId="77777777" w:rsidR="003E4331" w:rsidRDefault="00000000">
      <w:pPr>
        <w:spacing w:before="200" w:after="60"/>
        <w:jc w:val="center"/>
      </w:pPr>
      <w:r>
        <w:rPr>
          <w:noProof/>
        </w:rPr>
        <w:drawing>
          <wp:inline distT="0" distB="0" distL="0" distR="0" wp14:anchorId="478A2EE6" wp14:editId="1B36084C">
            <wp:extent cx="3019425" cy="1485900"/>
            <wp:effectExtent l="0" t="0" r="0" b="0"/>
            <wp:docPr id="407748064" name="Imagem 4077480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6197C" w14:textId="77777777" w:rsidR="003E4331" w:rsidRDefault="00000000">
      <w:pPr>
        <w:spacing w:after="200"/>
        <w:jc w:val="center"/>
      </w:pPr>
      <w:r>
        <w:rPr>
          <w:sz w:val="17"/>
          <w:szCs w:val="17"/>
        </w:rPr>
        <w:t>Fig. 12.  Análise de sensibilidade às variáveis-chave.</w:t>
      </w:r>
    </w:p>
    <w:p w14:paraId="0F6C8BD5" w14:textId="77777777" w:rsidR="003E4331" w:rsidRDefault="00000000">
      <w:pPr>
        <w:spacing w:before="200" w:after="60"/>
        <w:jc w:val="center"/>
      </w:pPr>
      <w:r>
        <w:rPr>
          <w:noProof/>
        </w:rPr>
        <w:drawing>
          <wp:inline distT="0" distB="0" distL="0" distR="0" wp14:anchorId="02E8FDD1" wp14:editId="3F5DE2DD">
            <wp:extent cx="3019425" cy="1352550"/>
            <wp:effectExtent l="0" t="0" r="0" b="0"/>
            <wp:docPr id="1506804121" name="Imagem 1506804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D1F6D" w14:textId="77777777" w:rsidR="003E4331" w:rsidRDefault="00000000">
      <w:pPr>
        <w:spacing w:after="200"/>
        <w:jc w:val="center"/>
      </w:pPr>
      <w:r>
        <w:rPr>
          <w:sz w:val="17"/>
          <w:szCs w:val="17"/>
        </w:rPr>
        <w:t>Fig. 13.  Matriz de avaliação.</w:t>
      </w:r>
    </w:p>
    <w:p w14:paraId="0DEB8985" w14:textId="77777777" w:rsidR="003E4331" w:rsidRDefault="00000000">
      <w:pPr>
        <w:keepNext/>
        <w:spacing w:before="260" w:after="140"/>
        <w:jc w:val="center"/>
      </w:pPr>
      <w:r>
        <w:rPr>
          <w:b/>
          <w:bCs/>
          <w:caps/>
        </w:rPr>
        <w:t>XII. Estrutura do Repositório e Reprodutibilidade</w:t>
      </w:r>
    </w:p>
    <w:p w14:paraId="20075C87" w14:textId="77777777" w:rsidR="003E4331" w:rsidRDefault="00000000">
      <w:pPr>
        <w:spacing w:after="120" w:line="264" w:lineRule="auto"/>
        <w:ind w:firstLine="288"/>
        <w:jc w:val="both"/>
      </w:pPr>
      <w:r>
        <w:t xml:space="preserve">Todo o código de ingestão, tratamento de dados, modelagem e simulação financeira utilizado neste trabalho está publicado e </w:t>
      </w:r>
      <w:proofErr w:type="spellStart"/>
      <w:r>
        <w:t>versionado</w:t>
      </w:r>
      <w:proofErr w:type="spellEnd"/>
      <w:r>
        <w:t xml:space="preserve"> no repositório público:</w:t>
      </w:r>
    </w:p>
    <w:p w14:paraId="55757D22" w14:textId="77777777" w:rsidR="003E4331" w:rsidRDefault="00000000">
      <w:pPr>
        <w:spacing w:before="40" w:after="160"/>
        <w:jc w:val="center"/>
      </w:pPr>
      <w:r>
        <w:rPr>
          <w:b/>
          <w:bCs/>
        </w:rPr>
        <w:t>github.com/</w:t>
      </w:r>
      <w:proofErr w:type="spellStart"/>
      <w:r>
        <w:rPr>
          <w:b/>
          <w:bCs/>
        </w:rPr>
        <w:t>dilsoneir-dev</w:t>
      </w:r>
      <w:proofErr w:type="spellEnd"/>
      <w:r>
        <w:rPr>
          <w:b/>
          <w:bCs/>
        </w:rPr>
        <w:t>/Mercado_Energia_B3_Celesc</w:t>
      </w:r>
    </w:p>
    <w:p w14:paraId="174E763E" w14:textId="77777777" w:rsidR="003E4331" w:rsidRDefault="00000000">
      <w:pPr>
        <w:spacing w:after="120" w:line="264" w:lineRule="auto"/>
        <w:ind w:firstLine="288"/>
        <w:jc w:val="both"/>
      </w:pPr>
      <w:r>
        <w:t xml:space="preserve">O repositório organiza o pipeline em notebooks sequenciais e diretórios de dados </w:t>
      </w:r>
      <w:proofErr w:type="spellStart"/>
      <w:r>
        <w:t>versionados</w:t>
      </w:r>
      <w:proofErr w:type="spellEnd"/>
      <w:r>
        <w:t xml:space="preserve"> de forma seletiva, conforme a estrutura a seguir:</w:t>
      </w:r>
    </w:p>
    <w:p w14:paraId="381AE9C9" w14:textId="3468B9DA" w:rsidR="003E4331" w:rsidRDefault="00000000">
      <w:pPr>
        <w:spacing w:after="80" w:line="264" w:lineRule="auto"/>
        <w:ind w:left="504" w:hanging="215"/>
        <w:jc w:val="both"/>
      </w:pPr>
      <w:r>
        <w:t xml:space="preserve">•  00_ingestao_tratamento.ipynb </w:t>
      </w:r>
      <w:r w:rsidR="006920AE">
        <w:t>-</w:t>
      </w:r>
      <w:r>
        <w:t xml:space="preserve"> ingestão dos três conjuntos de dados brutos (consumo CELESC, tarifas ANEEL, PLD CCEE) e consolidação do pipeline de limpeza em duas trilhas paralelas: "B3_Cativo" e "</w:t>
      </w:r>
      <w:proofErr w:type="spellStart"/>
      <w:r>
        <w:t>Comercial_Livre_ACL</w:t>
      </w:r>
      <w:proofErr w:type="spellEnd"/>
      <w:r>
        <w:t>";</w:t>
      </w:r>
    </w:p>
    <w:p w14:paraId="7B87A5DF" w14:textId="3B3A9066" w:rsidR="003E4331" w:rsidRDefault="00000000">
      <w:pPr>
        <w:spacing w:after="80" w:line="264" w:lineRule="auto"/>
        <w:ind w:left="504" w:hanging="215"/>
        <w:jc w:val="both"/>
      </w:pPr>
      <w:r>
        <w:t xml:space="preserve">•  01–04 </w:t>
      </w:r>
      <w:r w:rsidR="006920AE">
        <w:t>-</w:t>
      </w:r>
      <w:r>
        <w:t xml:space="preserve"> notebooks de decomposição/sazonalidade, modelagem preditiva (Holt-Winters, LSTM e demais modelos avaliados) e análise econômica da migração, construídos sobre a base tratada pelo notebook 00;</w:t>
      </w:r>
    </w:p>
    <w:p w14:paraId="1DF364C2" w14:textId="4C434972" w:rsidR="003E4331" w:rsidRDefault="00000000">
      <w:pPr>
        <w:spacing w:after="80" w:line="264" w:lineRule="auto"/>
        <w:ind w:left="504" w:hanging="215"/>
        <w:jc w:val="both"/>
      </w:pPr>
      <w:r>
        <w:t>•  data/</w:t>
      </w:r>
      <w:proofErr w:type="spellStart"/>
      <w:r>
        <w:t>raw</w:t>
      </w:r>
      <w:proofErr w:type="spellEnd"/>
      <w:r>
        <w:t xml:space="preserve">/ </w:t>
      </w:r>
      <w:r w:rsidR="006920AE">
        <w:t>-</w:t>
      </w:r>
      <w:r>
        <w:t xml:space="preserve"> dados brutos originais (não </w:t>
      </w:r>
      <w:proofErr w:type="spellStart"/>
      <w:r>
        <w:t>versionados</w:t>
      </w:r>
      <w:proofErr w:type="spellEnd"/>
      <w:r>
        <w:t xml:space="preserve"> no </w:t>
      </w:r>
      <w:proofErr w:type="spellStart"/>
      <w:r>
        <w:t>Git</w:t>
      </w:r>
      <w:proofErr w:type="spellEnd"/>
      <w:r>
        <w:t>; obtidos diretamente dos portais públicos citados na Seção II);</w:t>
      </w:r>
    </w:p>
    <w:p w14:paraId="1D6D2CFD" w14:textId="699A2542" w:rsidR="003E4331" w:rsidRDefault="00000000">
      <w:pPr>
        <w:spacing w:after="80" w:line="264" w:lineRule="auto"/>
        <w:ind w:left="504" w:hanging="215"/>
        <w:jc w:val="both"/>
      </w:pPr>
      <w:r>
        <w:t>•  data/</w:t>
      </w:r>
      <w:proofErr w:type="spellStart"/>
      <w:r>
        <w:t>processed</w:t>
      </w:r>
      <w:proofErr w:type="spellEnd"/>
      <w:r>
        <w:t xml:space="preserve">/ </w:t>
      </w:r>
      <w:r w:rsidR="006920AE">
        <w:t>-</w:t>
      </w:r>
      <w:r>
        <w:t xml:space="preserve"> dados tratados e saneados, </w:t>
      </w:r>
      <w:proofErr w:type="spellStart"/>
      <w:r>
        <w:t>versionados</w:t>
      </w:r>
      <w:proofErr w:type="spellEnd"/>
      <w:r>
        <w:t xml:space="preserve"> (arquivos de tamanho reduzido, prontos para consumo pelos notebooks de modelagem);</w:t>
      </w:r>
    </w:p>
    <w:p w14:paraId="00639678" w14:textId="2A1EBCB0" w:rsidR="003E4331" w:rsidRDefault="00000000">
      <w:pPr>
        <w:spacing w:after="80" w:line="264" w:lineRule="auto"/>
        <w:ind w:left="504" w:hanging="215"/>
        <w:jc w:val="both"/>
      </w:pPr>
      <w:r>
        <w:t xml:space="preserve">•  </w:t>
      </w:r>
      <w:proofErr w:type="spellStart"/>
      <w:r>
        <w:t>results</w:t>
      </w:r>
      <w:proofErr w:type="spellEnd"/>
      <w:r>
        <w:t>/</w:t>
      </w:r>
      <w:proofErr w:type="spellStart"/>
      <w:r>
        <w:t>plots</w:t>
      </w:r>
      <w:proofErr w:type="spellEnd"/>
      <w:r>
        <w:t xml:space="preserve">/ </w:t>
      </w:r>
      <w:r w:rsidR="006920AE">
        <w:t>-</w:t>
      </w:r>
      <w:r>
        <w:t xml:space="preserve"> figuras geradas pelos notebooks, incluindo as apresentadas neste relatório;</w:t>
      </w:r>
    </w:p>
    <w:p w14:paraId="079021AF" w14:textId="4E4FFD2F" w:rsidR="003E4331" w:rsidRDefault="00000000">
      <w:pPr>
        <w:spacing w:after="80" w:line="264" w:lineRule="auto"/>
        <w:ind w:left="504" w:hanging="215"/>
        <w:jc w:val="both"/>
      </w:pPr>
      <w:r>
        <w:t>•  README e .</w:t>
      </w:r>
      <w:proofErr w:type="spellStart"/>
      <w:r>
        <w:t>gitignore</w:t>
      </w:r>
      <w:proofErr w:type="spellEnd"/>
      <w:r>
        <w:t xml:space="preserve"> </w:t>
      </w:r>
      <w:r w:rsidR="006920AE">
        <w:t>-</w:t>
      </w:r>
      <w:r>
        <w:t xml:space="preserve"> documentação do projeto e exclusão dos dados brutos do versionamento.</w:t>
      </w:r>
    </w:p>
    <w:p w14:paraId="3F68F0DF" w14:textId="77777777" w:rsidR="003E4331" w:rsidRDefault="00000000">
      <w:pPr>
        <w:spacing w:after="120" w:line="264" w:lineRule="auto"/>
        <w:ind w:firstLine="288"/>
        <w:jc w:val="both"/>
      </w:pPr>
      <w:r>
        <w:t>Os três conjuntos de dados brutos possuem acesso público direto pelos portais da CELESC, da ANEEL e da CCEE (Seção II), o que permite a reprodução completa do pipeline sem necessidade de repositórios externos de dados.</w:t>
      </w:r>
    </w:p>
    <w:p w14:paraId="37ED6901" w14:textId="77777777" w:rsidR="003E4331" w:rsidRDefault="00000000">
      <w:pPr>
        <w:keepNext/>
        <w:spacing w:before="260" w:after="140"/>
        <w:jc w:val="center"/>
      </w:pPr>
      <w:r>
        <w:rPr>
          <w:b/>
          <w:bCs/>
          <w:caps/>
        </w:rPr>
        <w:t>XIII. Conclusão</w:t>
      </w:r>
    </w:p>
    <w:p w14:paraId="29E2194A" w14:textId="6C33BA46" w:rsidR="003E4331" w:rsidRDefault="00000000">
      <w:pPr>
        <w:spacing w:after="120" w:line="264" w:lineRule="auto"/>
        <w:ind w:firstLine="288"/>
        <w:jc w:val="both"/>
      </w:pPr>
      <w:r>
        <w:t xml:space="preserve">Este trabalho demonstrou, na prática, o esforço necessário para tratar dados públicos heterogêneos do setor elétrico e aplicar técnicas de Inteligência Artificial </w:t>
      </w:r>
      <w:r w:rsidR="006920AE">
        <w:t>-</w:t>
      </w:r>
      <w:r>
        <w:t xml:space="preserve"> decomposição STL, suavização exponencial de Holt-Winters e uma rede neural LSTM </w:t>
      </w:r>
      <w:r w:rsidR="006920AE">
        <w:t>-</w:t>
      </w:r>
      <w:r>
        <w:t xml:space="preserve"> na projeção de consumo de um grupo tarifário ainda cativo, mas com abertura de mercado já definida em lei. A integração dessa projeção com tarifas ANEEL e PLD da CCEE permitiu simular a vantajosidade financeira da migração ao mercado livre, indicando economia potencial expressiva no cenário base, porém condicionada a premissas de extrapolação que, como discutido nas Seções X e XI, podem inverter o resultado sob cenários de estresse hidrológico. O principal aprendizado metodológico do trabalho está menos no resultado numérico final e mais no processo: a qualidade da modelagem preditiva depende diretamente do rigor do tratamento de dados que a precede, e toda extrapolação de longo prazo em séries de energia deve ser comunicada com sua respectiva faixa de incerteza.</w:t>
      </w:r>
    </w:p>
    <w:p w14:paraId="61F10220" w14:textId="77777777" w:rsidR="003E4331" w:rsidRDefault="00000000">
      <w:pPr>
        <w:spacing w:before="260" w:after="140"/>
        <w:jc w:val="center"/>
      </w:pPr>
      <w:r>
        <w:rPr>
          <w:b/>
          <w:bCs/>
          <w:caps/>
        </w:rPr>
        <w:t>Referências</w:t>
      </w:r>
    </w:p>
    <w:p w14:paraId="75EB6215" w14:textId="58646008" w:rsidR="003E4331" w:rsidRDefault="00000000">
      <w:pPr>
        <w:spacing w:after="100"/>
        <w:ind w:left="360" w:hanging="360"/>
      </w:pPr>
      <w:r>
        <w:rPr>
          <w:sz w:val="17"/>
          <w:szCs w:val="17"/>
        </w:rPr>
        <w:t xml:space="preserve">[1]  CELESC, "Dados de Consumo </w:t>
      </w:r>
      <w:r w:rsidR="006920AE">
        <w:rPr>
          <w:sz w:val="17"/>
          <w:szCs w:val="17"/>
        </w:rPr>
        <w:t>-</w:t>
      </w:r>
      <w:r>
        <w:rPr>
          <w:sz w:val="17"/>
          <w:szCs w:val="17"/>
        </w:rPr>
        <w:t xml:space="preserve"> Portal de Relações com Investidores," [Online]. Disponível: https://www.celesc.com.br/home/mercado-de-energia/dados-de-consumo.</w:t>
      </w:r>
    </w:p>
    <w:p w14:paraId="621EC560" w14:textId="278D039F" w:rsidR="003E4331" w:rsidRDefault="00000000">
      <w:pPr>
        <w:spacing w:after="100"/>
        <w:ind w:left="360" w:hanging="360"/>
      </w:pPr>
      <w:r>
        <w:rPr>
          <w:sz w:val="17"/>
          <w:szCs w:val="17"/>
        </w:rPr>
        <w:t xml:space="preserve">[2]  ANEEL, "Tarifas Homologadas Distribuidoras de Energia Elétrica </w:t>
      </w:r>
      <w:r w:rsidR="006920AE">
        <w:rPr>
          <w:sz w:val="17"/>
          <w:szCs w:val="17"/>
        </w:rPr>
        <w:t>-</w:t>
      </w:r>
      <w:r>
        <w:rPr>
          <w:sz w:val="17"/>
          <w:szCs w:val="17"/>
        </w:rPr>
        <w:t xml:space="preserve"> Portal de Dados Abertos," [Online]. Disponível: https://dadosabertos.aneel.gov.br/dataset/tarifas-distribuidoras-energia-eletrica.</w:t>
      </w:r>
    </w:p>
    <w:p w14:paraId="5186D68E" w14:textId="4A2AF222" w:rsidR="003E4331" w:rsidRDefault="00000000">
      <w:pPr>
        <w:spacing w:after="100"/>
        <w:ind w:left="360" w:hanging="360"/>
      </w:pPr>
      <w:r>
        <w:rPr>
          <w:sz w:val="17"/>
          <w:szCs w:val="17"/>
        </w:rPr>
        <w:lastRenderedPageBreak/>
        <w:t xml:space="preserve">[3]  CCEE, "PLD Médio Semanal </w:t>
      </w:r>
      <w:r w:rsidR="006920AE">
        <w:rPr>
          <w:sz w:val="17"/>
          <w:szCs w:val="17"/>
        </w:rPr>
        <w:t>-</w:t>
      </w:r>
      <w:r>
        <w:rPr>
          <w:sz w:val="17"/>
          <w:szCs w:val="17"/>
        </w:rPr>
        <w:t xml:space="preserve"> Portal de Dados Abertos," [Online]. Disponível: https://dadosabertos.ccee.org.br/dataset/pld_media_semanal.</w:t>
      </w:r>
    </w:p>
    <w:p w14:paraId="3CE1E7E4" w14:textId="77777777" w:rsidR="003E4331" w:rsidRDefault="00000000">
      <w:pPr>
        <w:spacing w:after="100"/>
        <w:ind w:left="360" w:hanging="360"/>
      </w:pPr>
      <w:r>
        <w:rPr>
          <w:sz w:val="17"/>
          <w:szCs w:val="17"/>
        </w:rPr>
        <w:t>[4]  Brasil, Lei nº 15.269, de 2025. Estabelece o cronograma de abertura do Ambiente de Contratação Livre (ACL) para consumidores de baixa tensão.</w:t>
      </w:r>
    </w:p>
    <w:p w14:paraId="4189FBA8" w14:textId="77777777" w:rsidR="003E4331" w:rsidRDefault="00000000">
      <w:pPr>
        <w:spacing w:after="100"/>
        <w:ind w:left="360" w:hanging="360"/>
      </w:pPr>
      <w:r>
        <w:rPr>
          <w:sz w:val="17"/>
          <w:szCs w:val="17"/>
        </w:rPr>
        <w:t>[5]  Brasil, Ministério de Minas e Energia, Portaria MME nº 50, de 2022. Dispõe sobre a migração do Grupo A ao Ambiente de Contratação Livre.</w:t>
      </w:r>
    </w:p>
    <w:p w14:paraId="65883019" w14:textId="18827A00" w:rsidR="003E4331" w:rsidRDefault="00000000">
      <w:pPr>
        <w:spacing w:after="100"/>
        <w:ind w:left="360" w:hanging="360"/>
      </w:pPr>
      <w:r>
        <w:rPr>
          <w:sz w:val="17"/>
          <w:szCs w:val="17"/>
        </w:rPr>
        <w:t xml:space="preserve">[6]  ANEEL, Resolução Normativa nº 1.000, de 2021, Art. 2º, inciso XXIV, alínea "c" </w:t>
      </w:r>
      <w:r w:rsidR="006920AE">
        <w:rPr>
          <w:sz w:val="17"/>
          <w:szCs w:val="17"/>
        </w:rPr>
        <w:t>-</w:t>
      </w:r>
      <w:r>
        <w:rPr>
          <w:sz w:val="17"/>
          <w:szCs w:val="17"/>
        </w:rPr>
        <w:t xml:space="preserve"> definição do Subgrupo B3.</w:t>
      </w:r>
    </w:p>
    <w:p w14:paraId="34AA27A5" w14:textId="77777777" w:rsidR="003E4331" w:rsidRDefault="00000000">
      <w:pPr>
        <w:spacing w:after="100"/>
        <w:ind w:left="360" w:hanging="360"/>
      </w:pPr>
      <w:r>
        <w:rPr>
          <w:sz w:val="17"/>
          <w:szCs w:val="17"/>
        </w:rPr>
        <w:t>[7]  D. J. Rigotti, "Mercado_Energia_B3_Celesc," repositório GitHub, [Online]. Disponível: https://github.com/dilsoneir-dev/Mercado_Energia_B3_Celesc.</w:t>
      </w:r>
    </w:p>
    <w:sectPr w:rsidR="003E4331">
      <w:type w:val="continuous"/>
      <w:pgSz w:w="12240" w:h="15840"/>
      <w:pgMar w:top="1296" w:right="1008" w:bottom="1440" w:left="1008" w:header="708" w:footer="708" w:gutter="0"/>
      <w:cols w:num="2" w:space="34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CC9C94" w14:textId="77777777" w:rsidR="00083EC6" w:rsidRDefault="00083EC6">
      <w:r>
        <w:separator/>
      </w:r>
    </w:p>
  </w:endnote>
  <w:endnote w:type="continuationSeparator" w:id="0">
    <w:p w14:paraId="5B21374E" w14:textId="77777777" w:rsidR="00083EC6" w:rsidRDefault="00083E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37502" w14:textId="77777777" w:rsidR="003E4331" w:rsidRDefault="00000000">
    <w:pPr>
      <w:jc w:val="center"/>
    </w:pP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6920AE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358A0D" w14:textId="77777777" w:rsidR="00083EC6" w:rsidRDefault="00083EC6">
      <w:r>
        <w:separator/>
      </w:r>
    </w:p>
  </w:footnote>
  <w:footnote w:type="continuationSeparator" w:id="0">
    <w:p w14:paraId="54804381" w14:textId="77777777" w:rsidR="00083EC6" w:rsidRDefault="00083E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B41705"/>
    <w:multiLevelType w:val="hybridMultilevel"/>
    <w:tmpl w:val="AEC0749C"/>
    <w:lvl w:ilvl="0" w:tplc="E2E8972E">
      <w:start w:val="1"/>
      <w:numFmt w:val="bullet"/>
      <w:lvlText w:val="●"/>
      <w:lvlJc w:val="left"/>
      <w:pPr>
        <w:ind w:left="720" w:hanging="360"/>
      </w:pPr>
    </w:lvl>
    <w:lvl w:ilvl="1" w:tplc="4130389A">
      <w:start w:val="1"/>
      <w:numFmt w:val="bullet"/>
      <w:lvlText w:val="○"/>
      <w:lvlJc w:val="left"/>
      <w:pPr>
        <w:ind w:left="1440" w:hanging="360"/>
      </w:pPr>
    </w:lvl>
    <w:lvl w:ilvl="2" w:tplc="CB60E02A">
      <w:start w:val="1"/>
      <w:numFmt w:val="bullet"/>
      <w:lvlText w:val="■"/>
      <w:lvlJc w:val="left"/>
      <w:pPr>
        <w:ind w:left="2160" w:hanging="360"/>
      </w:pPr>
    </w:lvl>
    <w:lvl w:ilvl="3" w:tplc="43DCBC62">
      <w:start w:val="1"/>
      <w:numFmt w:val="bullet"/>
      <w:lvlText w:val="●"/>
      <w:lvlJc w:val="left"/>
      <w:pPr>
        <w:ind w:left="2880" w:hanging="360"/>
      </w:pPr>
    </w:lvl>
    <w:lvl w:ilvl="4" w:tplc="7FDC9A0A">
      <w:start w:val="1"/>
      <w:numFmt w:val="bullet"/>
      <w:lvlText w:val="○"/>
      <w:lvlJc w:val="left"/>
      <w:pPr>
        <w:ind w:left="3600" w:hanging="360"/>
      </w:pPr>
    </w:lvl>
    <w:lvl w:ilvl="5" w:tplc="06B822F8">
      <w:start w:val="1"/>
      <w:numFmt w:val="bullet"/>
      <w:lvlText w:val="■"/>
      <w:lvlJc w:val="left"/>
      <w:pPr>
        <w:ind w:left="4320" w:hanging="360"/>
      </w:pPr>
    </w:lvl>
    <w:lvl w:ilvl="6" w:tplc="FB208A5E">
      <w:start w:val="1"/>
      <w:numFmt w:val="bullet"/>
      <w:lvlText w:val="●"/>
      <w:lvlJc w:val="left"/>
      <w:pPr>
        <w:ind w:left="5040" w:hanging="360"/>
      </w:pPr>
    </w:lvl>
    <w:lvl w:ilvl="7" w:tplc="DF56A282">
      <w:start w:val="1"/>
      <w:numFmt w:val="bullet"/>
      <w:lvlText w:val="●"/>
      <w:lvlJc w:val="left"/>
      <w:pPr>
        <w:ind w:left="5760" w:hanging="360"/>
      </w:pPr>
    </w:lvl>
    <w:lvl w:ilvl="8" w:tplc="DCD68B0A">
      <w:start w:val="1"/>
      <w:numFmt w:val="bullet"/>
      <w:lvlText w:val="●"/>
      <w:lvlJc w:val="left"/>
      <w:pPr>
        <w:ind w:left="6480" w:hanging="360"/>
      </w:pPr>
    </w:lvl>
  </w:abstractNum>
  <w:num w:numId="1" w16cid:durableId="2581062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4331"/>
    <w:rsid w:val="00083EC6"/>
    <w:rsid w:val="002B11CF"/>
    <w:rsid w:val="00375A3B"/>
    <w:rsid w:val="00383562"/>
    <w:rsid w:val="003E4331"/>
    <w:rsid w:val="006920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19FB79"/>
  <w15:docId w15:val="{EF9BF1BC-AA33-4AD2-872F-EAC0E429C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4000</Words>
  <Characters>21602</Characters>
  <Application>Microsoft Office Word</Application>
  <DocSecurity>0</DocSecurity>
  <Lines>180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Dilsonei Rigotti</cp:lastModifiedBy>
  <cp:revision>3</cp:revision>
  <dcterms:created xsi:type="dcterms:W3CDTF">2026-09-25T11:57:00Z</dcterms:created>
  <dcterms:modified xsi:type="dcterms:W3CDTF">2026-09-25T12:23:00Z</dcterms:modified>
</cp:coreProperties>
</file>