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pPr>
    </w:p>
    <w:p>
      <w:pPr>
        <w:spacing w:after="80"/>
      </w:pPr>
      <w:r>
        <w:rPr>
          <w:rFonts w:ascii="Arial" w:cs="Arial" w:eastAsia="Arial" w:hAnsi="Arial"/>
          <w:b/>
          <w:bCs/>
          <w:color w:val="1B4F72"/>
          <w:sz w:val="56"/>
          <w:szCs w:val="56"/>
        </w:rPr>
        <w:t xml:space="preserve">Heart Disease Prediction</w:t>
      </w:r>
    </w:p>
    <w:p>
      <w:pPr>
        <w:spacing w:after="80"/>
      </w:pPr>
      <w:r>
        <w:rPr>
          <w:rFonts w:ascii="Arial" w:cs="Arial" w:eastAsia="Arial" w:hAnsi="Arial"/>
          <w:color w:val="2E4057"/>
          <w:sz w:val="28"/>
          <w:szCs w:val="28"/>
        </w:rPr>
        <w:t xml:space="preserve">Exploratory Data Analysis, Preprocessing &amp; Model Training Report</w:t>
      </w:r>
    </w:p>
    <w:p>
      <w:pPr>
        <w:spacing w:after="400"/>
      </w:pPr>
      <w:r>
        <w:rPr>
          <w:rFonts w:ascii="Arial" w:cs="Arial" w:eastAsia="Arial" w:hAnsi="Arial"/>
          <w:i/>
          <w:iCs/>
          <w:color w:val="888888"/>
          <w:sz w:val="22"/>
          <w:szCs w:val="22"/>
        </w:rPr>
        <w:t xml:space="preserve">End-to-End Machine Learning Project · 270,000 Patients · March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1B4F72"/>
                <w:sz w:val="20"/>
                <w:szCs w:val="20"/>
              </w:rPr>
              <w:t xml:space="preserve">Total Patients
270,000</w:t>
            </w:r>
          </w:p>
        </w:tc>
        <w:tc>
          <w:tcPr>
            <w:tcW w:type="dxa" w:w="234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1B4F72"/>
                <w:sz w:val="20"/>
                <w:szCs w:val="20"/>
              </w:rPr>
              <w:t xml:space="preserve">Clinical Features
13 + 1 target</w:t>
            </w:r>
          </w:p>
        </w:tc>
        <w:tc>
          <w:tcPr>
            <w:tcW w:type="dxa" w:w="234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1B4F72"/>
                <w:sz w:val="20"/>
                <w:szCs w:val="20"/>
              </w:rPr>
              <w:t xml:space="preserve">Normal (Class 0)
159,498 (59.1%)</w:t>
            </w:r>
          </w:p>
        </w:tc>
        <w:tc>
          <w:tcPr>
            <w:tcW w:type="dxa" w:w="234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1B4F72"/>
                <w:sz w:val="20"/>
                <w:szCs w:val="20"/>
              </w:rPr>
              <w:t xml:space="preserve">Disease (Class 1)
110,502 (40.9%)</w:t>
            </w:r>
          </w:p>
        </w:tc>
      </w:tr>
    </w:tbl>
    <w:p>
      <w:pPr>
        <w:spacing w:after="480"/>
      </w:pPr>
    </w:p>
    <w:p>
      <w:pPr>
        <w:pBdr>
          <w:bottom w:val="single" w:color="E0E0E0" w:sz="4" w:space="1"/>
        </w:pBdr>
        <w:spacing w:after="240" w:before="80"/>
      </w:pPr>
    </w:p>
    <w:p>
      <w:pPr>
        <w:pStyle w:val="Heading1"/>
        <w:pBdr>
          <w:bottom w:val="single" w:color="1B4F72" w:sz="6" w:space="1"/>
        </w:pBdr>
        <w:spacing w:before="360" w:after="160"/>
      </w:pPr>
      <w:r>
        <w:rPr>
          <w:rFonts w:ascii="Arial" w:cs="Arial" w:eastAsia="Arial" w:hAnsi="Arial"/>
          <w:b/>
          <w:bCs/>
          <w:color w:val="1B4F72"/>
          <w:sz w:val="30"/>
          <w:szCs w:val="30"/>
        </w:rPr>
        <w:t xml:space="preserve">1. Project Overview</w:t>
      </w:r>
    </w:p>
    <w:p>
      <w:pPr>
        <w:spacing w:after="160"/>
      </w:pPr>
      <w:r>
        <w:rPr>
          <w:rFonts w:ascii="Arial" w:cs="Arial" w:eastAsia="Arial" w:hAnsi="Arial"/>
          <w:sz w:val="22"/>
          <w:szCs w:val="22"/>
        </w:rPr>
        <w:t xml:space="preserve">This report documents the full Exploratory Data Analysis (EDA) and data preprocessing pipeline for a heart disease prediction project. The dataset contains 270,000 clinical patient records with 13 medical features. The goal is to build a binary classification model that predicts whether a patient has heart disease based on their clinical measurements.</w:t>
      </w:r>
    </w:p>
    <w:p>
      <w:pPr>
        <w:spacing w:after="80"/>
      </w:pPr>
    </w:p>
    <w:p>
      <w:pPr>
        <w:pStyle w:val="Heading2"/>
        <w:spacing w:before="240" w:after="100"/>
      </w:pPr>
      <w:r>
        <w:rPr>
          <w:rFonts w:ascii="Arial" w:cs="Arial" w:eastAsia="Arial" w:hAnsi="Arial"/>
          <w:b/>
          <w:bCs/>
          <w:color w:val="2E4057"/>
          <w:sz w:val="24"/>
          <w:szCs w:val="24"/>
        </w:rPr>
        <w:t xml:space="preserve">1.1 Business Problem</w:t>
      </w:r>
    </w:p>
    <w:p>
      <w:pPr>
        <w:spacing w:after="160"/>
      </w:pPr>
      <w:r>
        <w:rPr>
          <w:rFonts w:ascii="Arial" w:cs="Arial" w:eastAsia="Arial" w:hAnsi="Arial"/>
          <w:sz w:val="22"/>
          <w:szCs w:val="22"/>
        </w:rPr>
        <w:t xml:space="preserve">Heart disease is one of the leading causes of death worldwide. Early prediction using clinical data can significantly improve patient outcomes by enabling timely intervention. This project uses supervised machine learning to classify patients as Normal (class 0) or Heart Disease (class 1) based on measurable clinical indicators.</w:t>
      </w:r>
    </w:p>
    <w:p>
      <w:pPr>
        <w:spacing w:after="80"/>
      </w:pPr>
    </w:p>
    <w:p>
      <w:pPr>
        <w:pStyle w:val="Heading2"/>
        <w:spacing w:before="240" w:after="100"/>
      </w:pPr>
      <w:r>
        <w:rPr>
          <w:rFonts w:ascii="Arial" w:cs="Arial" w:eastAsia="Arial" w:hAnsi="Arial"/>
          <w:b/>
          <w:bCs/>
          <w:color w:val="2E4057"/>
          <w:sz w:val="24"/>
          <w:szCs w:val="24"/>
        </w:rPr>
        <w:t xml:space="preserve">1.2 Dataset Source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F72" w:sz="3"/>
              <w:left w:val="thick" w:color="1B4F72" w:sz="12"/>
              <w:bottom w:val="single" w:color="1B4F72" w:sz="3"/>
              <w:right w:val="single" w:color="1B4F72" w:sz="3"/>
            </w:tcBorders>
            <w:shd w:fill="EBF5FB" w:val="clear"/>
            <w:tcMar>
              <w:top w:type="dxa" w:w="120"/>
              <w:left w:type="dxa" w:w="200"/>
              <w:bottom w:type="dxa" w:w="120"/>
              <w:right w:type="dxa" w:w="200"/>
            </w:tcMar>
          </w:tcPr>
          <w:p>
            <w:r>
              <w:rPr>
                <w:rFonts w:ascii="Arial" w:cs="Arial" w:eastAsia="Arial" w:hAnsi="Arial"/>
                <w:i/>
                <w:iCs/>
                <w:color w:val="333333"/>
                <w:sz w:val="21"/>
                <w:szCs w:val="21"/>
              </w:rPr>
              <w:t xml:space="preserve">Dataset: Heart Disease Clinical Dataset
Source: Kaggle — https://www.kaggle.com/datasets/algozee/heart-decices
Records: 270,000 patient observations
Target: Derived from Thallium stress test (Thallium = 3 → Normal, Thallium = 6/7 → Disease)
Files: data.csv | eda.py | preprocessing.py
Note: Real medical dataset used — results reflect actual clinical data distributions.</w:t>
            </w:r>
          </w:p>
        </w:tc>
      </w:tr>
    </w:tbl>
    <w:p>
      <w:pPr>
        <w:spacing w:after="240"/>
      </w:pPr>
    </w:p>
    <w:p>
      <w:pPr>
        <w:pBdr>
          <w:bottom w:val="single" w:color="E0E0E0" w:sz="4" w:space="1"/>
        </w:pBdr>
        <w:spacing w:after="240" w:before="80"/>
      </w:pPr>
    </w:p>
    <w:p>
      <w:pPr>
        <w:pStyle w:val="Heading1"/>
        <w:pBdr>
          <w:bottom w:val="single" w:color="1B4F72" w:sz="6" w:space="1"/>
        </w:pBdr>
        <w:spacing w:before="360" w:after="160"/>
      </w:pPr>
      <w:r>
        <w:rPr>
          <w:rFonts w:ascii="Arial" w:cs="Arial" w:eastAsia="Arial" w:hAnsi="Arial"/>
          <w:b/>
          <w:bCs/>
          <w:color w:val="1B4F72"/>
          <w:sz w:val="30"/>
          <w:szCs w:val="30"/>
        </w:rPr>
        <w:t xml:space="preserve">2. Dataset Description</w:t>
      </w:r>
    </w:p>
    <w:p>
      <w:pPr>
        <w:spacing w:after="160"/>
      </w:pPr>
      <w:r>
        <w:rPr>
          <w:rFonts w:ascii="Arial" w:cs="Arial" w:eastAsia="Arial" w:hAnsi="Arial"/>
          <w:sz w:val="22"/>
          <w:szCs w:val="22"/>
        </w:rPr>
        <w:t xml:space="preserve">The dataset contains 13 clinical features covering patient demographics, vital signs, and diagnostic test results. The table below describes each feature, its data type, value range, and clinical meaning.</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2160"/>
        <w:gridCol w:w="3800"/>
      </w:tblGrid>
      <w:tr>
        <w:tc>
          <w:tcPr>
            <w:tcW w:type="dxa" w:w="22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12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216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Range / Values</w:t>
            </w:r>
          </w:p>
        </w:tc>
        <w:tc>
          <w:tcPr>
            <w:tcW w:type="dxa" w:w="38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Clinical Meaning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Age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Numeric</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29–77 years</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Patient age in years</w:t>
            </w:r>
          </w:p>
        </w:tc>
      </w:tr>
      <w:tr>
        <w:tc>
          <w:tcPr>
            <w:tcW w:type="dxa" w:w="2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1a1a1a"/>
                <w:sz w:val="20"/>
                <w:szCs w:val="20"/>
              </w:rPr>
              <w:t xml:space="preserve">Sex</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1a1a1a"/>
                <w:sz w:val="20"/>
                <w:szCs w:val="20"/>
              </w:rPr>
              <w:t xml:space="preserve">Binary</w:t>
            </w:r>
          </w:p>
        </w:tc>
        <w:tc>
          <w:tcPr>
            <w:tcW w:type="dxa" w:w="21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1a1a1a"/>
                <w:sz w:val="20"/>
                <w:szCs w:val="20"/>
              </w:rPr>
              <w:t xml:space="preserve">0=Female, 1=Male</w:t>
            </w:r>
          </w:p>
        </w:tc>
        <w:tc>
          <w:tcPr>
            <w:tcW w:type="dxa" w:w="3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1a1a1a"/>
                <w:sz w:val="20"/>
                <w:szCs w:val="20"/>
              </w:rPr>
              <w:t xml:space="preserve">Patient gender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Chest pain type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Nominal</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1,2,3,4</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Type of chest pain (1=Typical, 2=Atypical, 3=Non-typical, 4=Asymptomatic)</w:t>
            </w:r>
          </w:p>
        </w:tc>
      </w:tr>
      <w:tr>
        <w:tc>
          <w:tcPr>
            <w:tcW w:type="dxa" w:w="2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1a1a1a"/>
                <w:sz w:val="20"/>
                <w:szCs w:val="20"/>
              </w:rPr>
              <w:t xml:space="preserve">BP</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1a1a1a"/>
                <w:sz w:val="20"/>
                <w:szCs w:val="20"/>
              </w:rPr>
              <w:t xml:space="preserve">Numeric</w:t>
            </w:r>
          </w:p>
        </w:tc>
        <w:tc>
          <w:tcPr>
            <w:tcW w:type="dxa" w:w="21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1a1a1a"/>
                <w:sz w:val="20"/>
                <w:szCs w:val="20"/>
              </w:rPr>
              <w:t xml:space="preserve">94–200 mmHg</w:t>
            </w:r>
          </w:p>
        </w:tc>
        <w:tc>
          <w:tcPr>
            <w:tcW w:type="dxa" w:w="3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1a1a1a"/>
                <w:sz w:val="20"/>
                <w:szCs w:val="20"/>
              </w:rPr>
              <w:t xml:space="preserve">Resting blood pressure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Cholesterol</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Numeric</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126–564 mg/dl</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Serum cholesterol level</w:t>
            </w:r>
          </w:p>
        </w:tc>
      </w:tr>
      <w:tr>
        <w:tc>
          <w:tcPr>
            <w:tcW w:type="dxa" w:w="2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1a1a1a"/>
                <w:sz w:val="20"/>
                <w:szCs w:val="20"/>
              </w:rPr>
              <w:t xml:space="preserve">FBS over 120</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1a1a1a"/>
                <w:sz w:val="20"/>
                <w:szCs w:val="20"/>
              </w:rPr>
              <w:t xml:space="preserve">Binary</w:t>
            </w:r>
          </w:p>
        </w:tc>
        <w:tc>
          <w:tcPr>
            <w:tcW w:type="dxa" w:w="21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1a1a1a"/>
                <w:sz w:val="20"/>
                <w:szCs w:val="20"/>
              </w:rPr>
              <w:t xml:space="preserve">0=No, 1=Yes</w:t>
            </w:r>
          </w:p>
        </w:tc>
        <w:tc>
          <w:tcPr>
            <w:tcW w:type="dxa" w:w="3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1a1a1a"/>
                <w:sz w:val="20"/>
                <w:szCs w:val="20"/>
              </w:rPr>
              <w:t xml:space="preserve">Fasting blood sugar &gt; 120 mg/dl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EKG results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Nominal</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0, 1, 2</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Resting electrocardiographic results</w:t>
            </w:r>
          </w:p>
        </w:tc>
      </w:tr>
      <w:tr>
        <w:tc>
          <w:tcPr>
            <w:tcW w:type="dxa" w:w="2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1a1a1a"/>
                <w:sz w:val="20"/>
                <w:szCs w:val="20"/>
              </w:rPr>
              <w:t xml:space="preserve">Max HR</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1a1a1a"/>
                <w:sz w:val="20"/>
                <w:szCs w:val="20"/>
              </w:rPr>
              <w:t xml:space="preserve">Numeric</w:t>
            </w:r>
          </w:p>
        </w:tc>
        <w:tc>
          <w:tcPr>
            <w:tcW w:type="dxa" w:w="21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1a1a1a"/>
                <w:sz w:val="20"/>
                <w:szCs w:val="20"/>
              </w:rPr>
              <w:t xml:space="preserve">71–202 bpm</w:t>
            </w:r>
          </w:p>
        </w:tc>
        <w:tc>
          <w:tcPr>
            <w:tcW w:type="dxa" w:w="3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1a1a1a"/>
                <w:sz w:val="20"/>
                <w:szCs w:val="20"/>
              </w:rPr>
              <w:t xml:space="preserve">Maximum heart rate achieved during exercise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Exercise angina</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Binary</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0=No, 1=Yes</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Exercise-induced chest pain</w:t>
            </w:r>
          </w:p>
        </w:tc>
      </w:tr>
      <w:tr>
        <w:tc>
          <w:tcPr>
            <w:tcW w:type="dxa" w:w="2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1a1a1a"/>
                <w:sz w:val="20"/>
                <w:szCs w:val="20"/>
              </w:rPr>
              <w:t xml:space="preserve">ST depression</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1a1a1a"/>
                <w:sz w:val="20"/>
                <w:szCs w:val="20"/>
              </w:rPr>
              <w:t xml:space="preserve">Numeric</w:t>
            </w:r>
          </w:p>
        </w:tc>
        <w:tc>
          <w:tcPr>
            <w:tcW w:type="dxa" w:w="21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1a1a1a"/>
                <w:sz w:val="20"/>
                <w:szCs w:val="20"/>
              </w:rPr>
              <w:t xml:space="preserve">0.0–6.2</w:t>
            </w:r>
          </w:p>
        </w:tc>
        <w:tc>
          <w:tcPr>
            <w:tcW w:type="dxa" w:w="3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1a1a1a"/>
                <w:sz w:val="20"/>
                <w:szCs w:val="20"/>
              </w:rPr>
              <w:t xml:space="preserve">ST segment depression relative to rest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Slope of ST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Ordinal</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1, 2, 3</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Slope of the ST segment during peak exercise</w:t>
            </w:r>
          </w:p>
        </w:tc>
      </w:tr>
      <w:tr>
        <w:tc>
          <w:tcPr>
            <w:tcW w:type="dxa" w:w="2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1a1a1a"/>
                <w:sz w:val="20"/>
                <w:szCs w:val="20"/>
              </w:rPr>
              <w:t xml:space="preserve">Number of vessels fluro</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1a1a1a"/>
                <w:sz w:val="20"/>
                <w:szCs w:val="20"/>
              </w:rPr>
              <w:t xml:space="preserve">Ordinal</w:t>
            </w:r>
          </w:p>
        </w:tc>
        <w:tc>
          <w:tcPr>
            <w:tcW w:type="dxa" w:w="21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1a1a1a"/>
                <w:sz w:val="20"/>
                <w:szCs w:val="20"/>
              </w:rPr>
              <w:t xml:space="preserve">0, 1, 2, 3</w:t>
            </w:r>
          </w:p>
        </w:tc>
        <w:tc>
          <w:tcPr>
            <w:tcW w:type="dxa" w:w="3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1a1a1a"/>
                <w:sz w:val="20"/>
                <w:szCs w:val="20"/>
              </w:rPr>
              <w:t xml:space="preserve">Major vessels visible in fluoroscopy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Thallium</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Nominal</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3, 6, 7</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Thallium stress test result (source of target)</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1B4F72"/>
                <w:sz w:val="20"/>
                <w:szCs w:val="20"/>
              </w:rPr>
              <w:t xml:space="preserve">target ★</w:t>
            </w:r>
          </w:p>
        </w:tc>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1a1a1a"/>
                <w:sz w:val="20"/>
                <w:szCs w:val="20"/>
              </w:rPr>
              <w:t xml:space="preserve">Binary</w:t>
            </w:r>
          </w:p>
        </w:tc>
        <w:tc>
          <w:tcPr>
            <w:tcW w:type="dxa" w:w="21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1a1a1a"/>
                <w:sz w:val="20"/>
                <w:szCs w:val="20"/>
              </w:rPr>
              <w:t xml:space="preserve">0=Normal, 1=Disease</w:t>
            </w:r>
          </w:p>
        </w:tc>
        <w:tc>
          <w:tcPr>
            <w:tcW w:type="dxa" w:w="3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1a1a1a"/>
                <w:sz w:val="20"/>
                <w:szCs w:val="20"/>
              </w:rPr>
              <w:t xml:space="preserve">Derived: Thallium != 3 → Heart Disease</w:t>
            </w:r>
          </w:p>
        </w:tc>
      </w:tr>
    </w:tbl>
    <w:p>
      <w:pPr>
        <w:spacing w:after="240"/>
      </w:pPr>
    </w:p>
    <w:p>
      <w:pPr>
        <w:pBdr>
          <w:bottom w:val="single" w:color="E0E0E0" w:sz="4" w:space="1"/>
        </w:pBdr>
        <w:spacing w:after="240" w:before="80"/>
      </w:pPr>
    </w:p>
    <w:p>
      <w:pPr>
        <w:pStyle w:val="Heading1"/>
        <w:pBdr>
          <w:bottom w:val="single" w:color="1B4F72" w:sz="6" w:space="1"/>
        </w:pBdr>
        <w:spacing w:before="360" w:after="160"/>
      </w:pPr>
      <w:r>
        <w:rPr>
          <w:rFonts w:ascii="Arial" w:cs="Arial" w:eastAsia="Arial" w:hAnsi="Arial"/>
          <w:b/>
          <w:bCs/>
          <w:color w:val="1B4F72"/>
          <w:sz w:val="30"/>
          <w:szCs w:val="30"/>
        </w:rPr>
        <w:t xml:space="preserve">3. Exploratory Data Analysis</w:t>
      </w:r>
    </w:p>
    <w:p>
      <w:pPr>
        <w:spacing w:after="160"/>
      </w:pPr>
      <w:r>
        <w:rPr>
          <w:rFonts w:ascii="Arial" w:cs="Arial" w:eastAsia="Arial" w:hAnsi="Arial"/>
          <w:sz w:val="22"/>
          <w:szCs w:val="22"/>
        </w:rPr>
        <w:t xml:space="preserve">The EDA was conducted using Python with Pandas, Matplotlib and Seaborn. All plots were generated by eda.py and saved to the plots/ folder. The analysis covers the target variable distribution, univariate analysis of numeric features, categorical feature breakdowns, and multi-feature correlation.</w:t>
      </w:r>
    </w:p>
    <w:p>
      <w:pPr>
        <w:spacing w:after="80"/>
      </w:pPr>
    </w:p>
    <w:p>
      <w:pPr>
        <w:pStyle w:val="Heading2"/>
        <w:spacing w:before="240" w:after="100"/>
      </w:pPr>
      <w:r>
        <w:rPr>
          <w:rFonts w:ascii="Arial" w:cs="Arial" w:eastAsia="Arial" w:hAnsi="Arial"/>
          <w:b/>
          <w:bCs/>
          <w:color w:val="2E4057"/>
          <w:sz w:val="24"/>
          <w:szCs w:val="24"/>
        </w:rPr>
        <w:t xml:space="preserve">3.1 Target Variable Distribution</w:t>
      </w:r>
    </w:p>
    <w:p>
      <w:pPr>
        <w:spacing w:after="160"/>
      </w:pPr>
      <w:r>
        <w:rPr>
          <w:rFonts w:ascii="Arial" w:cs="Arial" w:eastAsia="Arial" w:hAnsi="Arial"/>
          <w:sz w:val="22"/>
          <w:szCs w:val="22"/>
        </w:rPr>
        <w:t xml:space="preserve">The target variable was derived from the Thallium column. A value of 3 indicates a normal result (no disease), while values of 6 or 7 indicate a positive result (heart disease). The class distribution shows a moderate imbalance with a ratio of 1.44, which does not require oversampling techniques such as SMOTE.</w:t>
      </w:r>
    </w:p>
    <w:p>
      <w:pPr>
        <w:spacing w:after="80"/>
      </w:pPr>
    </w:p>
    <w:p>
      <w:pPr>
        <w:spacing w:after="60"/>
      </w:pPr>
      <w:r>
        <w:drawing>
          <wp:inline distT="0" distB="0" distL="0" distR="0">
            <wp:extent cx="3143250" cy="3143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143250" cy="3143250"/>
                    </a:xfrm>
                    <a:prstGeom prst="rect">
                      <a:avLst/>
                    </a:prstGeom>
                  </pic:spPr>
                </pic:pic>
              </a:graphicData>
            </a:graphic>
          </wp:inline>
        </w:drawing>
      </w:r>
    </w:p>
    <w:p>
      <w:pPr>
        <w:spacing w:after="160"/>
      </w:pPr>
      <w:r>
        <w:rPr>
          <w:rFonts w:ascii="Arial" w:cs="Arial" w:eastAsia="Arial" w:hAnsi="Arial"/>
          <w:i/>
          <w:iCs/>
          <w:color w:val="666666"/>
          <w:sz w:val="18"/>
          <w:szCs w:val="18"/>
        </w:rPr>
        <w:t xml:space="preserve">Figure 1. Target variable distribution: Normal (59.1%) vs Heart Disease (40.9%)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Class</w:t>
            </w:r>
          </w:p>
        </w:tc>
        <w:tc>
          <w:tcPr>
            <w:tcW w:type="dxa" w:w="234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Label</w:t>
            </w:r>
          </w:p>
        </w:tc>
        <w:tc>
          <w:tcPr>
            <w:tcW w:type="dxa" w:w="234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Count</w:t>
            </w:r>
          </w:p>
        </w:tc>
        <w:tc>
          <w:tcPr>
            <w:tcW w:type="dxa" w:w="234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Percentage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Normal</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159,498</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59.1%</w:t>
            </w:r>
          </w:p>
        </w:tc>
      </w:tr>
      <w:tr>
        <w:tc>
          <w:tcPr>
            <w:tcW w:type="dxa" w:w="234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1a1a1a"/>
                <w:sz w:val="20"/>
                <w:szCs w:val="20"/>
              </w:rPr>
              <w:t xml:space="preserve">1</w:t>
            </w:r>
          </w:p>
        </w:tc>
        <w:tc>
          <w:tcPr>
            <w:tcW w:type="dxa" w:w="234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1a1a1a"/>
                <w:sz w:val="20"/>
                <w:szCs w:val="20"/>
              </w:rPr>
              <w:t xml:space="preserve">Heart Disease</w:t>
            </w:r>
          </w:p>
        </w:tc>
        <w:tc>
          <w:tcPr>
            <w:tcW w:type="dxa" w:w="234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1a1a1a"/>
                <w:sz w:val="20"/>
                <w:szCs w:val="20"/>
              </w:rPr>
              <w:t xml:space="preserve">110,502</w:t>
            </w:r>
          </w:p>
        </w:tc>
        <w:tc>
          <w:tcPr>
            <w:tcW w:type="dxa" w:w="234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1a1a1a"/>
                <w:sz w:val="20"/>
                <w:szCs w:val="20"/>
              </w:rPr>
              <w:t xml:space="preserve">40.9%</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1a"/>
                <w:sz w:val="20"/>
                <w:szCs w:val="20"/>
              </w:rPr>
              <w:t xml:space="preserve">Total</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1a"/>
                <w:sz w:val="20"/>
                <w:szCs w:val="20"/>
              </w:rPr>
              <w:t xml:space="preserve">270,000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100%</w:t>
            </w:r>
          </w:p>
        </w:tc>
      </w:tr>
    </w:tbl>
    <w:p>
      <w:pPr>
        <w:spacing w:after="200"/>
      </w:pPr>
    </w:p>
    <w:p>
      <w:pPr>
        <w:pStyle w:val="Heading2"/>
        <w:spacing w:before="240" w:after="100"/>
      </w:pPr>
      <w:r>
        <w:rPr>
          <w:rFonts w:ascii="Arial" w:cs="Arial" w:eastAsia="Arial" w:hAnsi="Arial"/>
          <w:b/>
          <w:bCs/>
          <w:color w:val="2E4057"/>
          <w:sz w:val="24"/>
          <w:szCs w:val="24"/>
        </w:rPr>
        <w:t xml:space="preserve">3.2 Age Distribution by Class</w:t>
      </w:r>
    </w:p>
    <w:p>
      <w:pPr>
        <w:spacing w:after="160"/>
      </w:pPr>
      <w:r>
        <w:rPr>
          <w:rFonts w:ascii="Arial" w:cs="Arial" w:eastAsia="Arial" w:hAnsi="Arial"/>
          <w:sz w:val="22"/>
          <w:szCs w:val="22"/>
        </w:rPr>
        <w:t xml:space="preserve">Age ranges from 29 to 77 years with a mean of 54.2 years. The histogram reveals that heart disease patients tend to be older, with the disease group concentrated in the 50–65 age range. Both distributions are approximately normal with slight left skew (skewness = -0.171). The dashed vertical lines mark the group means.</w:t>
      </w:r>
    </w:p>
    <w:p>
      <w:pPr>
        <w:spacing w:after="80"/>
      </w:pPr>
    </w:p>
    <w:p>
      <w:pPr>
        <w:spacing w:after="60"/>
      </w:pPr>
      <w:r>
        <w:drawing>
          <wp:inline distT="0" distB="0" distL="0" distR="0">
            <wp:extent cx="4381500" cy="2924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381500" cy="2924175"/>
                    </a:xfrm>
                    <a:prstGeom prst="rect">
                      <a:avLst/>
                    </a:prstGeom>
                  </pic:spPr>
                </pic:pic>
              </a:graphicData>
            </a:graphic>
          </wp:inline>
        </w:drawing>
      </w:r>
    </w:p>
    <w:p>
      <w:pPr>
        <w:spacing w:after="160"/>
      </w:pPr>
      <w:r>
        <w:rPr>
          <w:rFonts w:ascii="Arial" w:cs="Arial" w:eastAsia="Arial" w:hAnsi="Arial"/>
          <w:i/>
          <w:iCs/>
          <w:color w:val="666666"/>
          <w:sz w:val="18"/>
          <w:szCs w:val="18"/>
        </w:rPr>
        <w:t xml:space="preserve">Figure 2. Age distribution for Normal vs Disease patients with mean reference lines</w:t>
      </w:r>
    </w:p>
    <w:p>
      <w:pPr>
        <w:pStyle w:val="Heading2"/>
        <w:spacing w:before="240" w:after="100"/>
      </w:pPr>
      <w:r>
        <w:rPr>
          <w:rFonts w:ascii="Arial" w:cs="Arial" w:eastAsia="Arial" w:hAnsi="Arial"/>
          <w:b/>
          <w:bCs/>
          <w:color w:val="2E4057"/>
          <w:sz w:val="24"/>
          <w:szCs w:val="24"/>
        </w:rPr>
        <w:t xml:space="preserve">3.3 Age vs Maximum Heart Rate</w:t>
      </w:r>
    </w:p>
    <w:p>
      <w:pPr>
        <w:spacing w:after="160"/>
      </w:pPr>
      <w:r>
        <w:rPr>
          <w:rFonts w:ascii="Arial" w:cs="Arial" w:eastAsia="Arial" w:hAnsi="Arial"/>
          <w:sz w:val="22"/>
          <w:szCs w:val="22"/>
        </w:rPr>
        <w:t xml:space="preserve">The scatter plot of Age vs Max HR reveals a clear negative trend: older patients achieve a lower maximum heart rate during exercise. This relationship is consistent across both classes and aligns with established cardiology literature. Max HR has a strong negative correlation (r = -0.301) with the target variable.</w:t>
      </w:r>
    </w:p>
    <w:p>
      <w:pPr>
        <w:spacing w:after="80"/>
      </w:pPr>
    </w:p>
    <w:p>
      <w:pPr>
        <w:spacing w:after="60"/>
      </w:pPr>
      <w:r>
        <w:drawing>
          <wp:inline distT="0" distB="0" distL="0" distR="0">
            <wp:extent cx="4381500" cy="2924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381500" cy="2924175"/>
                    </a:xfrm>
                    <a:prstGeom prst="rect">
                      <a:avLst/>
                    </a:prstGeom>
                  </pic:spPr>
                </pic:pic>
              </a:graphicData>
            </a:graphic>
          </wp:inline>
        </w:drawing>
      </w:r>
    </w:p>
    <w:p>
      <w:pPr>
        <w:spacing w:after="160"/>
      </w:pPr>
      <w:r>
        <w:rPr>
          <w:rFonts w:ascii="Arial" w:cs="Arial" w:eastAsia="Arial" w:hAnsi="Arial"/>
          <w:i/>
          <w:iCs/>
          <w:color w:val="666666"/>
          <w:sz w:val="18"/>
          <w:szCs w:val="18"/>
        </w:rPr>
        <w:t xml:space="preserve">Figure 3. Scatter plot of Age vs Maximum Heart Rate (sample n = 4,000)</w:t>
      </w:r>
    </w:p>
    <w:p>
      <w:pPr>
        <w:pStyle w:val="Heading2"/>
        <w:spacing w:before="240" w:after="100"/>
      </w:pPr>
      <w:r>
        <w:rPr>
          <w:rFonts w:ascii="Arial" w:cs="Arial" w:eastAsia="Arial" w:hAnsi="Arial"/>
          <w:b/>
          <w:bCs/>
          <w:color w:val="2E4057"/>
          <w:sz w:val="24"/>
          <w:szCs w:val="24"/>
        </w:rPr>
        <w:t xml:space="preserve">3.4 ST Depression vs Disease</w:t>
      </w:r>
    </w:p>
    <w:p>
      <w:pPr>
        <w:spacing w:after="160"/>
      </w:pPr>
      <w:r>
        <w:rPr>
          <w:rFonts w:ascii="Arial" w:cs="Arial" w:eastAsia="Arial" w:hAnsi="Arial"/>
          <w:sz w:val="22"/>
          <w:szCs w:val="22"/>
        </w:rPr>
        <w:t xml:space="preserve">The boxplot shows that disease patients have significantly higher ST depression values compared to normal patients. ST depression is the fourth strongest predictor (r = 0.314). Normal patients have a median ST depression near 0, while disease patients show markedly elevated values, indicating physiological stress during exercise.</w:t>
      </w:r>
    </w:p>
    <w:p>
      <w:pPr>
        <w:spacing w:after="80"/>
      </w:pPr>
    </w:p>
    <w:p>
      <w:pPr>
        <w:spacing w:after="60"/>
      </w:pPr>
      <w:r>
        <w:drawing>
          <wp:inline distT="0" distB="0" distL="0" distR="0">
            <wp:extent cx="4381500" cy="2924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381500" cy="2924175"/>
                    </a:xfrm>
                    <a:prstGeom prst="rect">
                      <a:avLst/>
                    </a:prstGeom>
                  </pic:spPr>
                </pic:pic>
              </a:graphicData>
            </a:graphic>
          </wp:inline>
        </w:drawing>
      </w:r>
    </w:p>
    <w:p>
      <w:pPr>
        <w:spacing w:after="160"/>
      </w:pPr>
      <w:r>
        <w:rPr>
          <w:rFonts w:ascii="Arial" w:cs="Arial" w:eastAsia="Arial" w:hAnsi="Arial"/>
          <w:i/>
          <w:iCs/>
          <w:color w:val="666666"/>
          <w:sz w:val="18"/>
          <w:szCs w:val="18"/>
        </w:rPr>
        <w:t xml:space="preserve">Figure 4. ST Depression distribution: Normal (0) vs Disease (1)</w:t>
      </w:r>
    </w:p>
    <w:p>
      <w:pPr>
        <w:pStyle w:val="Heading2"/>
        <w:spacing w:before="240" w:after="100"/>
      </w:pPr>
      <w:r>
        <w:rPr>
          <w:rFonts w:ascii="Arial" w:cs="Arial" w:eastAsia="Arial" w:hAnsi="Arial"/>
          <w:b/>
          <w:bCs/>
          <w:color w:val="2E4057"/>
          <w:sz w:val="24"/>
          <w:szCs w:val="24"/>
        </w:rPr>
        <w:t xml:space="preserve">3.5 Cholesterol Distribution &amp; Boxplot</w:t>
      </w:r>
    </w:p>
    <w:p>
      <w:pPr>
        <w:spacing w:after="160"/>
      </w:pPr>
      <w:r>
        <w:rPr>
          <w:rFonts w:ascii="Arial" w:cs="Arial" w:eastAsia="Arial" w:hAnsi="Arial"/>
          <w:sz w:val="22"/>
          <w:szCs w:val="22"/>
        </w:rPr>
        <w:t xml:space="preserve">Serum cholesterol ranges from 126 to 564 mg/dl with a mean of 245.1 mg/dl and mild positive skew (0.265). The distribution is broadly similar between classes with slight elevation in disease patients, though cholesterol has a relatively low correlation with the target (r = 0.059), suggesting it is a weaker individual predictor in this dataset.</w:t>
      </w:r>
    </w:p>
    <w:p>
      <w:pPr>
        <w:spacing w:after="80"/>
      </w:pPr>
    </w:p>
    <w:p>
      <w:pPr>
        <w:spacing w:after="60"/>
      </w:pPr>
      <w:r>
        <w:drawing>
          <wp:inline distT="0" distB="0" distL="0" distR="0">
            <wp:extent cx="4381500" cy="2924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381500" cy="2924175"/>
                    </a:xfrm>
                    <a:prstGeom prst="rect">
                      <a:avLst/>
                    </a:prstGeom>
                  </pic:spPr>
                </pic:pic>
              </a:graphicData>
            </a:graphic>
          </wp:inline>
        </w:drawing>
      </w:r>
    </w:p>
    <w:p>
      <w:pPr>
        <w:spacing w:after="160"/>
      </w:pPr>
      <w:r>
        <w:rPr>
          <w:rFonts w:ascii="Arial" w:cs="Arial" w:eastAsia="Arial" w:hAnsi="Arial"/>
          <w:i/>
          <w:iCs/>
          <w:color w:val="666666"/>
          <w:sz w:val="18"/>
          <w:szCs w:val="18"/>
        </w:rPr>
        <w:t xml:space="preserve">Figure 5. Cholesterol boxplot by class</w:t>
      </w:r>
    </w:p>
    <w:p>
      <w:pPr>
        <w:spacing w:after="60"/>
      </w:pPr>
      <w:r>
        <w:drawing>
          <wp:inline distT="0" distB="0" distL="0" distR="0">
            <wp:extent cx="4381500" cy="2924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381500" cy="2924175"/>
                    </a:xfrm>
                    <a:prstGeom prst="rect">
                      <a:avLst/>
                    </a:prstGeom>
                  </pic:spPr>
                </pic:pic>
              </a:graphicData>
            </a:graphic>
          </wp:inline>
        </w:drawing>
      </w:r>
    </w:p>
    <w:p>
      <w:pPr>
        <w:spacing w:after="160"/>
      </w:pPr>
      <w:r>
        <w:rPr>
          <w:rFonts w:ascii="Arial" w:cs="Arial" w:eastAsia="Arial" w:hAnsi="Arial"/>
          <w:i/>
          <w:iCs/>
          <w:color w:val="666666"/>
          <w:sz w:val="18"/>
          <w:szCs w:val="18"/>
        </w:rPr>
        <w:t xml:space="preserve">Figure 6. Cholesterol density distribution by class</w:t>
      </w:r>
    </w:p>
    <w:p>
      <w:pPr>
        <w:pStyle w:val="Heading2"/>
        <w:spacing w:before="240" w:after="100"/>
      </w:pPr>
      <w:r>
        <w:rPr>
          <w:rFonts w:ascii="Arial" w:cs="Arial" w:eastAsia="Arial" w:hAnsi="Arial"/>
          <w:b/>
          <w:bCs/>
          <w:color w:val="2E4057"/>
          <w:sz w:val="24"/>
          <w:szCs w:val="24"/>
        </w:rPr>
        <w:t xml:space="preserve">3.6 Chest Pain Type vs Disease Rate</w:t>
      </w:r>
    </w:p>
    <w:p>
      <w:pPr>
        <w:spacing w:after="160"/>
      </w:pPr>
      <w:r>
        <w:rPr>
          <w:rFonts w:ascii="Arial" w:cs="Arial" w:eastAsia="Arial" w:hAnsi="Arial"/>
          <w:sz w:val="22"/>
          <w:szCs w:val="22"/>
        </w:rPr>
        <w:t xml:space="preserve">Chest pain type is one of the strongest predictors (r = 0.317). The analysis reveals a counter-intuitive but clinically well-documented finding: asymptomatic chest pain (Type 4) is associated with the highest disease rate at 57.8%. Typical angina (Type 1) shows only 18.2% disease rate, while non-typical pain (Type 3) shows 23.3%.</w:t>
      </w:r>
    </w:p>
    <w:p>
      <w:pPr>
        <w:spacing w:after="80"/>
      </w:pPr>
    </w:p>
    <w:p>
      <w:pPr>
        <w:spacing w:after="60"/>
      </w:pPr>
      <w:r>
        <w:drawing>
          <wp:inline distT="0" distB="0" distL="0" distR="0">
            <wp:extent cx="4381500" cy="2924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381500" cy="2924175"/>
                    </a:xfrm>
                    <a:prstGeom prst="rect">
                      <a:avLst/>
                    </a:prstGeom>
                  </pic:spPr>
                </pic:pic>
              </a:graphicData>
            </a:graphic>
          </wp:inline>
        </w:drawing>
      </w:r>
    </w:p>
    <w:p>
      <w:pPr>
        <w:spacing w:after="160"/>
      </w:pPr>
      <w:r>
        <w:rPr>
          <w:rFonts w:ascii="Arial" w:cs="Arial" w:eastAsia="Arial" w:hAnsi="Arial"/>
          <w:i/>
          <w:iCs/>
          <w:color w:val="666666"/>
          <w:sz w:val="18"/>
          <w:szCs w:val="18"/>
        </w:rPr>
        <w:t xml:space="preserve">Figure 7. Heart disease rate by chest pain type (1=Typical, 2=Atypical, 3=Non-typical, 4=Asymptomatic)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234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234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Disease Rate</w:t>
            </w:r>
          </w:p>
        </w:tc>
        <w:tc>
          <w:tcPr>
            <w:tcW w:type="dxa" w:w="234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Risk Level</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1</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Typical Angina</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18.2%</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Low</w:t>
            </w:r>
          </w:p>
        </w:tc>
      </w:tr>
      <w:tr>
        <w:tc>
          <w:tcPr>
            <w:tcW w:type="dxa" w:w="234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1a1a1a"/>
                <w:sz w:val="20"/>
                <w:szCs w:val="20"/>
              </w:rPr>
              <w:t xml:space="preserve">2</w:t>
            </w:r>
          </w:p>
        </w:tc>
        <w:tc>
          <w:tcPr>
            <w:tcW w:type="dxa" w:w="234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1a1a1a"/>
                <w:sz w:val="20"/>
                <w:szCs w:val="20"/>
              </w:rPr>
              <w:t xml:space="preserve">Atypical Angina</w:t>
            </w:r>
          </w:p>
        </w:tc>
        <w:tc>
          <w:tcPr>
            <w:tcW w:type="dxa" w:w="234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1a1a1a"/>
                <w:sz w:val="20"/>
                <w:szCs w:val="20"/>
              </w:rPr>
              <w:t xml:space="preserve">21.0%</w:t>
            </w:r>
          </w:p>
        </w:tc>
        <w:tc>
          <w:tcPr>
            <w:tcW w:type="dxa" w:w="234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1a1a1a"/>
                <w:sz w:val="20"/>
                <w:szCs w:val="20"/>
              </w:rPr>
              <w:t xml:space="preserve">Low-Medium</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3</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Non-typical Pain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23.3%</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Medium</w:t>
            </w:r>
          </w:p>
        </w:tc>
      </w:tr>
      <w:tr>
        <w:tc>
          <w:tcPr>
            <w:tcW w:type="dxa" w:w="234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r>
              <w:rPr>
                <w:rFonts w:ascii="Arial" w:cs="Arial" w:eastAsia="Arial" w:hAnsi="Arial"/>
                <w:b w:val="false"/>
                <w:bCs w:val="false"/>
                <w:color w:val="1a1a1a"/>
                <w:sz w:val="20"/>
                <w:szCs w:val="20"/>
              </w:rPr>
              <w:t xml:space="preserve">4</w:t>
            </w:r>
          </w:p>
        </w:tc>
        <w:tc>
          <w:tcPr>
            <w:tcW w:type="dxa" w:w="234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r>
              <w:rPr>
                <w:rFonts w:ascii="Arial" w:cs="Arial" w:eastAsia="Arial" w:hAnsi="Arial"/>
                <w:b w:val="false"/>
                <w:bCs w:val="false"/>
                <w:color w:val="1a1a1a"/>
                <w:sz w:val="20"/>
                <w:szCs w:val="20"/>
              </w:rPr>
              <w:t xml:space="preserve">Asymptomatic</w:t>
            </w:r>
          </w:p>
        </w:tc>
        <w:tc>
          <w:tcPr>
            <w:tcW w:type="dxa" w:w="234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r>
              <w:rPr>
                <w:rFonts w:ascii="Arial" w:cs="Arial" w:eastAsia="Arial" w:hAnsi="Arial"/>
                <w:b/>
                <w:bCs/>
                <w:color w:val="B91C1C"/>
                <w:sz w:val="20"/>
                <w:szCs w:val="20"/>
              </w:rPr>
              <w:t xml:space="preserve">57.8%</w:t>
            </w:r>
          </w:p>
        </w:tc>
        <w:tc>
          <w:tcPr>
            <w:tcW w:type="dxa" w:w="234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r>
              <w:rPr>
                <w:rFonts w:ascii="Arial" w:cs="Arial" w:eastAsia="Arial" w:hAnsi="Arial"/>
                <w:b/>
                <w:bCs/>
                <w:color w:val="B91C1C"/>
                <w:sz w:val="20"/>
                <w:szCs w:val="20"/>
              </w:rPr>
              <w:t xml:space="preserve">HIGH</w:t>
            </w:r>
          </w:p>
        </w:tc>
      </w:tr>
    </w:tbl>
    <w:p>
      <w:pPr>
        <w:spacing w:after="200"/>
      </w:pPr>
    </w:p>
    <w:p>
      <w:pPr>
        <w:pStyle w:val="Heading2"/>
        <w:spacing w:before="240" w:after="100"/>
      </w:pPr>
      <w:r>
        <w:rPr>
          <w:rFonts w:ascii="Arial" w:cs="Arial" w:eastAsia="Arial" w:hAnsi="Arial"/>
          <w:b/>
          <w:bCs/>
          <w:color w:val="2E4057"/>
          <w:sz w:val="24"/>
          <w:szCs w:val="24"/>
        </w:rPr>
        <w:t xml:space="preserve">3.7 Number of Vessels vs Disease Rate</w:t>
      </w:r>
    </w:p>
    <w:p>
      <w:pPr>
        <w:spacing w:after="160"/>
      </w:pPr>
      <w:r>
        <w:rPr>
          <w:rFonts w:ascii="Arial" w:cs="Arial" w:eastAsia="Arial" w:hAnsi="Arial"/>
          <w:sz w:val="22"/>
          <w:szCs w:val="22"/>
        </w:rPr>
        <w:t xml:space="preserve">The number of major vessels visible in fluoroscopy is the second strongest predictor (r = 0.332). There is a clear and clinically meaningful dose-response relationship: patients with 0 visible vessels have only a 30.0% disease rate, while those with 1, 2, or 3 vessels show rates of 62.2%, 74.3%, and 74.0% respectively.</w:t>
      </w:r>
    </w:p>
    <w:p>
      <w:pPr>
        <w:spacing w:after="80"/>
      </w:pPr>
    </w:p>
    <w:p>
      <w:pPr>
        <w:spacing w:after="60"/>
      </w:pPr>
      <w:r>
        <w:drawing>
          <wp:inline distT="0" distB="0" distL="0" distR="0">
            <wp:extent cx="4381500" cy="2924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381500" cy="2924175"/>
                    </a:xfrm>
                    <a:prstGeom prst="rect">
                      <a:avLst/>
                    </a:prstGeom>
                  </pic:spPr>
                </pic:pic>
              </a:graphicData>
            </a:graphic>
          </wp:inline>
        </w:drawing>
      </w:r>
    </w:p>
    <w:p>
      <w:pPr>
        <w:spacing w:after="160"/>
      </w:pPr>
      <w:r>
        <w:rPr>
          <w:rFonts w:ascii="Arial" w:cs="Arial" w:eastAsia="Arial" w:hAnsi="Arial"/>
          <w:i/>
          <w:iCs/>
          <w:color w:val="666666"/>
          <w:sz w:val="18"/>
          <w:szCs w:val="18"/>
        </w:rPr>
        <w:t xml:space="preserve">Figure 8. Heart disease rate by number of vessels in fluoroscopy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Vessels</w:t>
            </w:r>
          </w:p>
        </w:tc>
        <w:tc>
          <w:tcPr>
            <w:tcW w:type="dxa" w:w="234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Count</w:t>
            </w:r>
          </w:p>
        </w:tc>
        <w:tc>
          <w:tcPr>
            <w:tcW w:type="dxa" w:w="234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Disease Rate</w:t>
            </w:r>
          </w:p>
        </w:tc>
        <w:tc>
          <w:tcPr>
            <w:tcW w:type="dxa" w:w="234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Risk Assessment</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195,615</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30.0%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Low risk</w:t>
            </w:r>
          </w:p>
        </w:tc>
      </w:tr>
      <w:tr>
        <w:tc>
          <w:tcPr>
            <w:tcW w:type="dxa" w:w="234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1a1a1a"/>
                <w:sz w:val="20"/>
                <w:szCs w:val="20"/>
              </w:rPr>
              <w:t xml:space="preserve">1</w:t>
            </w:r>
          </w:p>
        </w:tc>
        <w:tc>
          <w:tcPr>
            <w:tcW w:type="dxa" w:w="234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1a1a1a"/>
                <w:sz w:val="20"/>
                <w:szCs w:val="20"/>
              </w:rPr>
              <w:t xml:space="preserve">45,297</w:t>
            </w:r>
          </w:p>
        </w:tc>
        <w:tc>
          <w:tcPr>
            <w:tcW w:type="dxa" w:w="234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1a1a1a"/>
                <w:sz w:val="20"/>
                <w:szCs w:val="20"/>
              </w:rPr>
              <w:t xml:space="preserve">62.2%</w:t>
            </w:r>
          </w:p>
        </w:tc>
        <w:tc>
          <w:tcPr>
            <w:tcW w:type="dxa" w:w="234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1a1a1a"/>
                <w:sz w:val="20"/>
                <w:szCs w:val="20"/>
              </w:rPr>
              <w:t xml:space="preserve">Moderate-high risk</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2</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17,208</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74.3%</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High risk</w:t>
            </w:r>
          </w:p>
        </w:tc>
      </w:tr>
      <w:tr>
        <w:tc>
          <w:tcPr>
            <w:tcW w:type="dxa" w:w="234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1a1a1a"/>
                <w:sz w:val="20"/>
                <w:szCs w:val="20"/>
              </w:rPr>
              <w:t xml:space="preserve">3</w:t>
            </w:r>
          </w:p>
        </w:tc>
        <w:tc>
          <w:tcPr>
            <w:tcW w:type="dxa" w:w="234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1a1a1a"/>
                <w:sz w:val="20"/>
                <w:szCs w:val="20"/>
              </w:rPr>
              <w:t xml:space="preserve">11,880</w:t>
            </w:r>
          </w:p>
        </w:tc>
        <w:tc>
          <w:tcPr>
            <w:tcW w:type="dxa" w:w="234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1a1a1a"/>
                <w:sz w:val="20"/>
                <w:szCs w:val="20"/>
              </w:rPr>
              <w:t xml:space="preserve">74.0%</w:t>
            </w:r>
          </w:p>
        </w:tc>
        <w:tc>
          <w:tcPr>
            <w:tcW w:type="dxa" w:w="234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1a1a1a"/>
                <w:sz w:val="20"/>
                <w:szCs w:val="20"/>
              </w:rPr>
              <w:t xml:space="preserve">High risk</w:t>
            </w:r>
          </w:p>
        </w:tc>
      </w:tr>
    </w:tbl>
    <w:p>
      <w:pPr>
        <w:spacing w:after="200"/>
      </w:pPr>
    </w:p>
    <w:p>
      <w:pPr>
        <w:pStyle w:val="Heading2"/>
        <w:spacing w:before="240" w:after="100"/>
      </w:pPr>
      <w:r>
        <w:rPr>
          <w:rFonts w:ascii="Arial" w:cs="Arial" w:eastAsia="Arial" w:hAnsi="Arial"/>
          <w:b/>
          <w:bCs/>
          <w:color w:val="2E4057"/>
          <w:sz w:val="24"/>
          <w:szCs w:val="24"/>
        </w:rPr>
        <w:t xml:space="preserve">3.8 Correlation Matrix</w:t>
      </w:r>
    </w:p>
    <w:p>
      <w:pPr>
        <w:spacing w:after="160"/>
      </w:pPr>
      <w:r>
        <w:rPr>
          <w:rFonts w:ascii="Arial" w:cs="Arial" w:eastAsia="Arial" w:hAnsi="Arial"/>
          <w:sz w:val="22"/>
          <w:szCs w:val="22"/>
        </w:rPr>
        <w:t xml:space="preserve">The Pearson correlation heatmap reveals the linear relationships between all features. Notable findings include the strong positive correlation between Thallium and target (r = 0.998, confirming it is the direct source), and meaningful correlations for Exercise angina, Number of vessels fluro, ST depression, and Chest pain type.</w:t>
      </w:r>
    </w:p>
    <w:p>
      <w:pPr>
        <w:spacing w:after="80"/>
      </w:pPr>
    </w:p>
    <w:p>
      <w:pPr>
        <w:spacing w:after="60"/>
      </w:pPr>
      <w:r>
        <w:drawing>
          <wp:inline distT="0" distB="0" distL="0" distR="0">
            <wp:extent cx="47625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762500" cy="3571875"/>
                    </a:xfrm>
                    <a:prstGeom prst="rect">
                      <a:avLst/>
                    </a:prstGeom>
                  </pic:spPr>
                </pic:pic>
              </a:graphicData>
            </a:graphic>
          </wp:inline>
        </w:drawing>
      </w:r>
    </w:p>
    <w:p>
      <w:pPr>
        <w:spacing w:after="160"/>
      </w:pPr>
      <w:r>
        <w:rPr>
          <w:rFonts w:ascii="Arial" w:cs="Arial" w:eastAsia="Arial" w:hAnsi="Arial"/>
          <w:i/>
          <w:iCs/>
          <w:color w:val="666666"/>
          <w:sz w:val="18"/>
          <w:szCs w:val="18"/>
        </w:rPr>
        <w:t xml:space="preserve">Figure 9. Pearson correlation matrix for all features including the target variable</w:t>
      </w:r>
    </w:p>
    <w:p>
      <w:pPr>
        <w:pStyle w:val="Heading2"/>
        <w:spacing w:before="240" w:after="100"/>
      </w:pPr>
      <w:r>
        <w:rPr>
          <w:rFonts w:ascii="Arial" w:cs="Arial" w:eastAsia="Arial" w:hAnsi="Arial"/>
          <w:b/>
          <w:bCs/>
          <w:color w:val="2E4057"/>
          <w:sz w:val="24"/>
          <w:szCs w:val="24"/>
        </w:rPr>
        <w:t xml:space="preserve">3.9 Feature Importance (Correlation with Target)</w:t>
      </w:r>
    </w:p>
    <w:p>
      <w:pPr>
        <w:spacing w:after="160"/>
      </w:pPr>
      <w:r>
        <w:rPr>
          <w:rFonts w:ascii="Arial" w:cs="Arial" w:eastAsia="Arial" w:hAnsi="Arial"/>
          <w:sz w:val="22"/>
          <w:szCs w:val="22"/>
        </w:rPr>
        <w:t xml:space="preserve">The ranked feature importance chart based on absolute Pearson correlation provides a clear ordering of predictive power. Exercise angina leads at r = 0.353, followed by Number of vessels fluro (r = 0.332), Chest pain type (r = 0.317), ST depression (r = 0.314), and Max HR (r = -0.301).</w:t>
      </w:r>
    </w:p>
    <w:p>
      <w:pPr>
        <w:spacing w:after="80"/>
      </w:pPr>
    </w:p>
    <w:p>
      <w:pPr>
        <w:spacing w:after="60"/>
      </w:pPr>
      <w:r>
        <w:drawing>
          <wp:inline distT="0" distB="0" distL="0" distR="0">
            <wp:extent cx="38100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810000" cy="3810000"/>
                    </a:xfrm>
                    <a:prstGeom prst="rect">
                      <a:avLst/>
                    </a:prstGeom>
                  </pic:spPr>
                </pic:pic>
              </a:graphicData>
            </a:graphic>
          </wp:inline>
        </w:drawing>
      </w:r>
    </w:p>
    <w:p>
      <w:pPr>
        <w:spacing w:after="160"/>
      </w:pPr>
      <w:r>
        <w:rPr>
          <w:rFonts w:ascii="Arial" w:cs="Arial" w:eastAsia="Arial" w:hAnsi="Arial"/>
          <w:i/>
          <w:iCs/>
          <w:color w:val="666666"/>
          <w:sz w:val="18"/>
          <w:szCs w:val="18"/>
        </w:rPr>
        <w:t xml:space="preserve">Figure 10. Feature correlation with target — red = positive, blue = negative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
        <w:gridCol w:w="3024"/>
        <w:gridCol w:w="1800"/>
        <w:gridCol w:w="1800"/>
        <w:gridCol w:w="1800"/>
      </w:tblGrid>
      <w:tr>
        <w:tc>
          <w:tcPr>
            <w:tcW w:type="dxa" w:w="936"/>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3024"/>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18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Correlation (r)</w:t>
            </w:r>
          </w:p>
        </w:tc>
        <w:tc>
          <w:tcPr>
            <w:tcW w:type="dxa" w:w="18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|r|</w:t>
            </w:r>
          </w:p>
        </w:tc>
        <w:tc>
          <w:tcPr>
            <w:tcW w:type="dxa" w:w="18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Direction</w:t>
            </w:r>
          </w:p>
        </w:tc>
      </w:tr>
      <w:tr>
        <w:tc>
          <w:tcPr>
            <w:tcW w:type="dxa" w:w="93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1B4F72"/>
                <w:sz w:val="20"/>
                <w:szCs w:val="20"/>
              </w:rPr>
              <w:t xml:space="preserve">1</w:t>
            </w:r>
          </w:p>
        </w:tc>
        <w:tc>
          <w:tcPr>
            <w:tcW w:type="dxa" w:w="3024"/>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1B4F72"/>
                <w:sz w:val="20"/>
                <w:szCs w:val="20"/>
              </w:rPr>
              <w:t xml:space="preserve">Exercise angina</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1B4F72"/>
                <w:sz w:val="20"/>
                <w:szCs w:val="20"/>
              </w:rPr>
              <w:t xml:space="preserve">0.353</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1a1a1a"/>
                <w:sz w:val="20"/>
                <w:szCs w:val="20"/>
              </w:rPr>
              <w:t xml:space="preserve">0.353</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1a1a1a"/>
                <w:sz w:val="20"/>
                <w:szCs w:val="20"/>
              </w:rPr>
              <w:t xml:space="preserve">Positive</w:t>
            </w:r>
          </w:p>
        </w:tc>
      </w:tr>
      <w:tr>
        <w:tc>
          <w:tcPr>
            <w:tcW w:type="dxa" w:w="93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2</w:t>
            </w:r>
          </w:p>
        </w:tc>
        <w:tc>
          <w:tcPr>
            <w:tcW w:type="dxa" w:w="3024"/>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Number of vessels fluro</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0.332</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0.332</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Positive</w:t>
            </w:r>
          </w:p>
        </w:tc>
      </w:tr>
      <w:tr>
        <w:tc>
          <w:tcPr>
            <w:tcW w:type="dxa" w:w="936"/>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1a1a1a"/>
                <w:sz w:val="20"/>
                <w:szCs w:val="20"/>
              </w:rPr>
              <w:t xml:space="preserve">3</w:t>
            </w:r>
          </w:p>
        </w:tc>
        <w:tc>
          <w:tcPr>
            <w:tcW w:type="dxa" w:w="3024"/>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1a1a1a"/>
                <w:sz w:val="20"/>
                <w:szCs w:val="20"/>
              </w:rPr>
              <w:t xml:space="preserve">Chest pain type</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1a1a1a"/>
                <w:sz w:val="20"/>
                <w:szCs w:val="20"/>
              </w:rPr>
              <w:t xml:space="preserve">0.317</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1a1a1a"/>
                <w:sz w:val="20"/>
                <w:szCs w:val="20"/>
              </w:rPr>
              <w:t xml:space="preserve">0.317</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1a1a1a"/>
                <w:sz w:val="20"/>
                <w:szCs w:val="20"/>
              </w:rPr>
              <w:t xml:space="preserve">Positive</w:t>
            </w:r>
          </w:p>
        </w:tc>
      </w:tr>
      <w:tr>
        <w:tc>
          <w:tcPr>
            <w:tcW w:type="dxa" w:w="93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4</w:t>
            </w:r>
          </w:p>
        </w:tc>
        <w:tc>
          <w:tcPr>
            <w:tcW w:type="dxa" w:w="3024"/>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ST depression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0.314</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0.314</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Positive</w:t>
            </w:r>
          </w:p>
        </w:tc>
      </w:tr>
      <w:tr>
        <w:tc>
          <w:tcPr>
            <w:tcW w:type="dxa" w:w="936"/>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1a1a1a"/>
                <w:sz w:val="20"/>
                <w:szCs w:val="20"/>
              </w:rPr>
              <w:t xml:space="preserve">5</w:t>
            </w:r>
          </w:p>
        </w:tc>
        <w:tc>
          <w:tcPr>
            <w:tcW w:type="dxa" w:w="3024"/>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1a1a1a"/>
                <w:sz w:val="20"/>
                <w:szCs w:val="20"/>
              </w:rPr>
              <w:t xml:space="preserve">Max HR</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1a1a1a"/>
                <w:sz w:val="20"/>
                <w:szCs w:val="20"/>
              </w:rPr>
              <w:t xml:space="preserve">-0.301</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1a1a1a"/>
                <w:sz w:val="20"/>
                <w:szCs w:val="20"/>
              </w:rPr>
              <w:t xml:space="preserve">0.301</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1a1a1a"/>
                <w:sz w:val="20"/>
                <w:szCs w:val="20"/>
              </w:rPr>
              <w:t xml:space="preserve">Negative</w:t>
            </w:r>
          </w:p>
        </w:tc>
      </w:tr>
      <w:tr>
        <w:tc>
          <w:tcPr>
            <w:tcW w:type="dxa" w:w="93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6</w:t>
            </w:r>
          </w:p>
        </w:tc>
        <w:tc>
          <w:tcPr>
            <w:tcW w:type="dxa" w:w="3024"/>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Slope of ST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0.296</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0.296</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Positive</w:t>
            </w:r>
          </w:p>
        </w:tc>
      </w:tr>
      <w:tr>
        <w:tc>
          <w:tcPr>
            <w:tcW w:type="dxa" w:w="936"/>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1a1a1a"/>
                <w:sz w:val="20"/>
                <w:szCs w:val="20"/>
              </w:rPr>
              <w:t xml:space="preserve">7</w:t>
            </w:r>
          </w:p>
        </w:tc>
        <w:tc>
          <w:tcPr>
            <w:tcW w:type="dxa" w:w="3024"/>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1a1a1a"/>
                <w:sz w:val="20"/>
                <w:szCs w:val="20"/>
              </w:rPr>
              <w:t xml:space="preserve">Sex</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1a1a1a"/>
                <w:sz w:val="20"/>
                <w:szCs w:val="20"/>
              </w:rPr>
              <w:t xml:space="preserve">0.272</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1a1a1a"/>
                <w:sz w:val="20"/>
                <w:szCs w:val="20"/>
              </w:rPr>
              <w:t xml:space="preserve">0.272</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1a1a1a"/>
                <w:sz w:val="20"/>
                <w:szCs w:val="20"/>
              </w:rPr>
              <w:t xml:space="preserve">Positive</w:t>
            </w:r>
          </w:p>
        </w:tc>
      </w:tr>
      <w:tr>
        <w:tc>
          <w:tcPr>
            <w:tcW w:type="dxa" w:w="93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8</w:t>
            </w:r>
          </w:p>
        </w:tc>
        <w:tc>
          <w:tcPr>
            <w:tcW w:type="dxa" w:w="3024"/>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EKG results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0.166</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0.166</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Positive</w:t>
            </w:r>
          </w:p>
        </w:tc>
      </w:tr>
      <w:tr>
        <w:tc>
          <w:tcPr>
            <w:tcW w:type="dxa" w:w="936"/>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1a1a1a"/>
                <w:sz w:val="20"/>
                <w:szCs w:val="20"/>
              </w:rPr>
              <w:t xml:space="preserve">9</w:t>
            </w:r>
          </w:p>
        </w:tc>
        <w:tc>
          <w:tcPr>
            <w:tcW w:type="dxa" w:w="3024"/>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1a1a1a"/>
                <w:sz w:val="20"/>
                <w:szCs w:val="20"/>
              </w:rPr>
              <w:t xml:space="preserve">Age</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1a1a1a"/>
                <w:sz w:val="20"/>
                <w:szCs w:val="20"/>
              </w:rPr>
              <w:t xml:space="preserve">0.150</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1a1a1a"/>
                <w:sz w:val="20"/>
                <w:szCs w:val="20"/>
              </w:rPr>
              <w:t xml:space="preserve">0.150</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1a1a1a"/>
                <w:sz w:val="20"/>
                <w:szCs w:val="20"/>
              </w:rPr>
              <w:t xml:space="preserve">Positive</w:t>
            </w:r>
          </w:p>
        </w:tc>
      </w:tr>
      <w:tr>
        <w:tc>
          <w:tcPr>
            <w:tcW w:type="dxa" w:w="93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10</w:t>
            </w:r>
          </w:p>
        </w:tc>
        <w:tc>
          <w:tcPr>
            <w:tcW w:type="dxa" w:w="3024"/>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Cholesterol</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0.059</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0.059</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Positive</w:t>
            </w:r>
          </w:p>
        </w:tc>
      </w:tr>
      <w:tr>
        <w:tc>
          <w:tcPr>
            <w:tcW w:type="dxa" w:w="936"/>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1a1a1a"/>
                <w:sz w:val="20"/>
                <w:szCs w:val="20"/>
              </w:rPr>
              <w:t xml:space="preserve">11</w:t>
            </w:r>
          </w:p>
        </w:tc>
        <w:tc>
          <w:tcPr>
            <w:tcW w:type="dxa" w:w="3024"/>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1a1a1a"/>
                <w:sz w:val="20"/>
                <w:szCs w:val="20"/>
              </w:rPr>
              <w:t xml:space="preserve">FBS over 120</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1a1a1a"/>
                <w:sz w:val="20"/>
                <w:szCs w:val="20"/>
              </w:rPr>
              <w:t xml:space="preserve">0.029</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1a1a1a"/>
                <w:sz w:val="20"/>
                <w:szCs w:val="20"/>
              </w:rPr>
              <w:t xml:space="preserve">0.029</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1a1a1a"/>
                <w:sz w:val="20"/>
                <w:szCs w:val="20"/>
              </w:rPr>
              <w:t xml:space="preserve">Positive</w:t>
            </w:r>
          </w:p>
        </w:tc>
      </w:tr>
      <w:tr>
        <w:tc>
          <w:tcPr>
            <w:tcW w:type="dxa" w:w="93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12</w:t>
            </w:r>
          </w:p>
        </w:tc>
        <w:tc>
          <w:tcPr>
            <w:tcW w:type="dxa" w:w="3024"/>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BP</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-0.008</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0.008</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Negative</w:t>
            </w:r>
          </w:p>
        </w:tc>
      </w:tr>
    </w:tbl>
    <w:p>
      <w:pPr>
        <w:spacing w:after="240"/>
      </w:pPr>
    </w:p>
    <w:p>
      <w:pPr>
        <w:pBdr>
          <w:bottom w:val="single" w:color="E0E0E0" w:sz="4" w:space="1"/>
        </w:pBdr>
        <w:spacing w:after="240" w:before="80"/>
      </w:pPr>
    </w:p>
    <w:p>
      <w:pPr>
        <w:pStyle w:val="Heading1"/>
        <w:pBdr>
          <w:bottom w:val="single" w:color="1B4F72" w:sz="6" w:space="1"/>
        </w:pBdr>
        <w:spacing w:before="360" w:after="160"/>
      </w:pPr>
      <w:r>
        <w:rPr>
          <w:rFonts w:ascii="Arial" w:cs="Arial" w:eastAsia="Arial" w:hAnsi="Arial"/>
          <w:b/>
          <w:bCs/>
          <w:color w:val="1B4F72"/>
          <w:sz w:val="30"/>
          <w:szCs w:val="30"/>
        </w:rPr>
        <w:t xml:space="preserve">4. Data Preprocessing</w:t>
      </w:r>
    </w:p>
    <w:p>
      <w:pPr>
        <w:spacing w:after="160"/>
      </w:pPr>
      <w:r>
        <w:rPr>
          <w:rFonts w:ascii="Arial" w:cs="Arial" w:eastAsia="Arial" w:hAnsi="Arial"/>
          <w:sz w:val="22"/>
          <w:szCs w:val="22"/>
        </w:rPr>
        <w:t xml:space="preserve">The preprocessing.py script prepares the dataset for machine learning by executing six sequential steps: removing non-informative columns, creating the target variable, checking for missing values, splitting into train/test sets, applying feature scaling, and saving the processed files.</w:t>
      </w:r>
    </w:p>
    <w:p>
      <w:pPr>
        <w:spacing w:after="80"/>
      </w:pPr>
    </w:p>
    <w:p>
      <w:pPr>
        <w:pStyle w:val="Heading2"/>
        <w:spacing w:before="240" w:after="100"/>
      </w:pPr>
      <w:r>
        <w:rPr>
          <w:rFonts w:ascii="Arial" w:cs="Arial" w:eastAsia="Arial" w:hAnsi="Arial"/>
          <w:b/>
          <w:bCs/>
          <w:color w:val="2E4057"/>
          <w:sz w:val="24"/>
          <w:szCs w:val="24"/>
        </w:rPr>
        <w:t xml:space="preserve">4.1 Missing Values</w:t>
      </w:r>
    </w:p>
    <w:p>
      <w:pPr>
        <w:spacing w:after="160"/>
      </w:pPr>
      <w:r>
        <w:rPr>
          <w:rFonts w:ascii="Arial" w:cs="Arial" w:eastAsia="Arial" w:hAnsi="Arial"/>
          <w:sz w:val="22"/>
          <w:szCs w:val="22"/>
        </w:rPr>
        <w:t xml:space="preserve">A complete missing value check was performed using df.isnull().sum() across all 14 columns (including the derived target). The result confirms that the dataset is entirely complete with zero missing values, making imputation unnecessary.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F72" w:sz="3"/>
              <w:left w:val="thick" w:color="1B4F72" w:sz="12"/>
              <w:bottom w:val="single" w:color="1B4F72" w:sz="3"/>
              <w:right w:val="single" w:color="1B4F72" w:sz="3"/>
            </w:tcBorders>
            <w:shd w:fill="EBF5FB" w:val="clear"/>
            <w:tcMar>
              <w:top w:type="dxa" w:w="120"/>
              <w:left w:type="dxa" w:w="200"/>
              <w:bottom w:type="dxa" w:w="120"/>
              <w:right w:type="dxa" w:w="200"/>
            </w:tcMar>
          </w:tcPr>
          <w:p>
            <w:r>
              <w:rPr>
                <w:rFonts w:ascii="Arial" w:cs="Arial" w:eastAsia="Arial" w:hAnsi="Arial"/>
                <w:i/>
                <w:iCs/>
                <w:color w:val="333333"/>
                <w:sz w:val="21"/>
                <w:szCs w:val="21"/>
              </w:rPr>
              <w:t xml:space="preserve">Result: 0 missing values across all 14 columns
All 270,000 records are complete.
No imputation strategy is required.</w:t>
            </w:r>
          </w:p>
        </w:tc>
      </w:tr>
    </w:tbl>
    <w:p>
      <w:pPr>
        <w:spacing w:after="160"/>
      </w:pPr>
    </w:p>
    <w:p>
      <w:pPr>
        <w:pStyle w:val="Heading2"/>
        <w:spacing w:before="240" w:after="100"/>
      </w:pPr>
      <w:r>
        <w:rPr>
          <w:rFonts w:ascii="Arial" w:cs="Arial" w:eastAsia="Arial" w:hAnsi="Arial"/>
          <w:b/>
          <w:bCs/>
          <w:color w:val="2E4057"/>
          <w:sz w:val="24"/>
          <w:szCs w:val="24"/>
        </w:rPr>
        <w:t xml:space="preserve">4.2 Outlier Summary</w:t>
      </w:r>
    </w:p>
    <w:p>
      <w:pPr>
        <w:spacing w:after="160"/>
      </w:pPr>
      <w:r>
        <w:rPr>
          <w:rFonts w:ascii="Arial" w:cs="Arial" w:eastAsia="Arial" w:hAnsi="Arial"/>
          <w:sz w:val="22"/>
          <w:szCs w:val="22"/>
        </w:rPr>
        <w:t xml:space="preserve">Using the IQR method (lower = Q1 - 1.5*IQR, upper = Q3 + 1.5*IQR), outliers were identified but not removed — values are clipped to boundary values to prevent loss of records. Max HR has the highest proportion at 2.3%, while Age has the fewest at 0.2%.</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1200"/>
        <w:gridCol w:w="1200"/>
        <w:gridCol w:w="1200"/>
        <w:gridCol w:w="1200"/>
        <w:gridCol w:w="1200"/>
        <w:gridCol w:w="1200"/>
      </w:tblGrid>
      <w:tr>
        <w:tc>
          <w:tcPr>
            <w:tcW w:type="dxa" w:w="216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12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Mean</w:t>
            </w:r>
          </w:p>
        </w:tc>
        <w:tc>
          <w:tcPr>
            <w:tcW w:type="dxa" w:w="12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Std</w:t>
            </w:r>
          </w:p>
        </w:tc>
        <w:tc>
          <w:tcPr>
            <w:tcW w:type="dxa" w:w="12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IQR Lower</w:t>
            </w:r>
          </w:p>
        </w:tc>
        <w:tc>
          <w:tcPr>
            <w:tcW w:type="dxa" w:w="12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IQR Upper</w:t>
            </w:r>
          </w:p>
        </w:tc>
        <w:tc>
          <w:tcPr>
            <w:tcW w:type="dxa" w:w="12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Outliers</w:t>
            </w:r>
          </w:p>
        </w:tc>
        <w:tc>
          <w:tcPr>
            <w:tcW w:type="dxa" w:w="12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w:t>
            </w:r>
          </w:p>
        </w:tc>
      </w:tr>
      <w:tr>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Age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54.16</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8.26</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30.0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78.0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454</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0.2%</w:t>
            </w:r>
          </w:p>
        </w:tc>
      </w:tr>
      <w:tr>
        <w:tc>
          <w:tcPr>
            <w:tcW w:type="dxa" w:w="21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1a1a1a"/>
                <w:sz w:val="20"/>
                <w:szCs w:val="20"/>
              </w:rPr>
              <w:t xml:space="preserve">BP</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1a1a1a"/>
                <w:sz w:val="20"/>
                <w:szCs w:val="20"/>
              </w:rPr>
              <w:t xml:space="preserve">130.56</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1a1a1a"/>
                <w:sz w:val="20"/>
                <w:szCs w:val="20"/>
              </w:rPr>
              <w:t xml:space="preserve">15.01</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1a1a1a"/>
                <w:sz w:val="20"/>
                <w:szCs w:val="20"/>
              </w:rPr>
              <w:t xml:space="preserve">90.0</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1a1a1a"/>
                <w:sz w:val="20"/>
                <w:szCs w:val="20"/>
              </w:rPr>
              <w:t xml:space="preserve">170.0</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1a1a1a"/>
                <w:sz w:val="20"/>
                <w:szCs w:val="20"/>
              </w:rPr>
              <w:t xml:space="preserve">3,837</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1a1a1a"/>
                <w:sz w:val="20"/>
                <w:szCs w:val="20"/>
              </w:rPr>
              <w:t xml:space="preserve">1.4%</w:t>
            </w:r>
          </w:p>
        </w:tc>
      </w:tr>
      <w:tr>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Cholesterol</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245.05</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33.70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154.0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338.0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899</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0.3%</w:t>
            </w:r>
          </w:p>
        </w:tc>
      </w:tr>
      <w:tr>
        <w:tc>
          <w:tcPr>
            <w:tcW w:type="dxa" w:w="216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r>
              <w:rPr>
                <w:rFonts w:ascii="Arial" w:cs="Arial" w:eastAsia="Arial" w:hAnsi="Arial"/>
                <w:b w:val="false"/>
                <w:bCs w:val="false"/>
                <w:color w:val="1a1a1a"/>
                <w:sz w:val="20"/>
                <w:szCs w:val="20"/>
              </w:rPr>
              <w:t xml:space="preserve">Max HR</w:t>
            </w:r>
          </w:p>
        </w:tc>
        <w:tc>
          <w:tcPr>
            <w:tcW w:type="dxa" w:w="12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r>
              <w:rPr>
                <w:rFonts w:ascii="Arial" w:cs="Arial" w:eastAsia="Arial" w:hAnsi="Arial"/>
                <w:b w:val="false"/>
                <w:bCs w:val="false"/>
                <w:color w:val="1a1a1a"/>
                <w:sz w:val="20"/>
                <w:szCs w:val="20"/>
              </w:rPr>
              <w:t xml:space="preserve">152.78</w:t>
            </w:r>
          </w:p>
        </w:tc>
        <w:tc>
          <w:tcPr>
            <w:tcW w:type="dxa" w:w="12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r>
              <w:rPr>
                <w:rFonts w:ascii="Arial" w:cs="Arial" w:eastAsia="Arial" w:hAnsi="Arial"/>
                <w:b w:val="false"/>
                <w:bCs w:val="false"/>
                <w:color w:val="1a1a1a"/>
                <w:sz w:val="20"/>
                <w:szCs w:val="20"/>
              </w:rPr>
              <w:t xml:space="preserve">19.15</w:t>
            </w:r>
          </w:p>
        </w:tc>
        <w:tc>
          <w:tcPr>
            <w:tcW w:type="dxa" w:w="12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r>
              <w:rPr>
                <w:rFonts w:ascii="Arial" w:cs="Arial" w:eastAsia="Arial" w:hAnsi="Arial"/>
                <w:b w:val="false"/>
                <w:bCs w:val="false"/>
                <w:color w:val="1a1a1a"/>
                <w:sz w:val="20"/>
                <w:szCs w:val="20"/>
              </w:rPr>
              <w:t xml:space="preserve">106.0</w:t>
            </w:r>
          </w:p>
        </w:tc>
        <w:tc>
          <w:tcPr>
            <w:tcW w:type="dxa" w:w="12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r>
              <w:rPr>
                <w:rFonts w:ascii="Arial" w:cs="Arial" w:eastAsia="Arial" w:hAnsi="Arial"/>
                <w:b w:val="false"/>
                <w:bCs w:val="false"/>
                <w:color w:val="1a1a1a"/>
                <w:sz w:val="20"/>
                <w:szCs w:val="20"/>
              </w:rPr>
              <w:t xml:space="preserve">202.0</w:t>
            </w:r>
          </w:p>
        </w:tc>
        <w:tc>
          <w:tcPr>
            <w:tcW w:type="dxa" w:w="12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r>
              <w:rPr>
                <w:rFonts w:ascii="Arial" w:cs="Arial" w:eastAsia="Arial" w:hAnsi="Arial"/>
                <w:b/>
                <w:bCs/>
                <w:color w:val="B91C1C"/>
                <w:sz w:val="20"/>
                <w:szCs w:val="20"/>
              </w:rPr>
              <w:t xml:space="preserve">6,169</w:t>
            </w:r>
          </w:p>
        </w:tc>
        <w:tc>
          <w:tcPr>
            <w:tcW w:type="dxa" w:w="12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r>
              <w:rPr>
                <w:rFonts w:ascii="Arial" w:cs="Arial" w:eastAsia="Arial" w:hAnsi="Arial"/>
                <w:b/>
                <w:bCs/>
                <w:color w:val="B91C1C"/>
                <w:sz w:val="20"/>
                <w:szCs w:val="20"/>
              </w:rPr>
              <w:t xml:space="preserve">2.3%</w:t>
            </w:r>
          </w:p>
        </w:tc>
      </w:tr>
      <w:tr>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ST depression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0.72</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0.95</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-2.1</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3.5</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4,316</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1.6%</w:t>
            </w:r>
          </w:p>
        </w:tc>
      </w:tr>
    </w:tbl>
    <w:p>
      <w:pPr>
        <w:spacing w:after="200"/>
      </w:pPr>
    </w:p>
    <w:p>
      <w:pPr>
        <w:pStyle w:val="Heading2"/>
        <w:spacing w:before="240" w:after="100"/>
      </w:pPr>
      <w:r>
        <w:rPr>
          <w:rFonts w:ascii="Arial" w:cs="Arial" w:eastAsia="Arial" w:hAnsi="Arial"/>
          <w:b/>
          <w:bCs/>
          <w:color w:val="2E4057"/>
          <w:sz w:val="24"/>
          <w:szCs w:val="24"/>
        </w:rPr>
        <w:t xml:space="preserve">4.3 Feature Scaling (StandardScaler)</w:t>
      </w:r>
    </w:p>
    <w:p>
      <w:pPr>
        <w:spacing w:after="160"/>
      </w:pPr>
      <w:r>
        <w:rPr>
          <w:rFonts w:ascii="Arial" w:cs="Arial" w:eastAsia="Arial" w:hAnsi="Arial"/>
          <w:sz w:val="22"/>
          <w:szCs w:val="22"/>
        </w:rPr>
        <w:t xml:space="preserve">StandardScaler was applied to all numeric and ordinal features, transforming each feature to zero mean and unit variance. Scaling ensures that no single feature dominates the model due to differences in measurement units. The scaler was fit on training data only and then applied to test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F72" w:sz="3"/>
              <w:left w:val="thick" w:color="1B4F72" w:sz="12"/>
              <w:bottom w:val="single" w:color="1B4F72" w:sz="3"/>
              <w:right w:val="single" w:color="1B4F72" w:sz="3"/>
            </w:tcBorders>
            <w:shd w:fill="EBF5FB" w:val="clear"/>
            <w:tcMar>
              <w:top w:type="dxa" w:w="120"/>
              <w:left w:type="dxa" w:w="200"/>
              <w:bottom w:type="dxa" w:w="120"/>
              <w:right w:type="dxa" w:w="200"/>
            </w:tcMar>
          </w:tcPr>
          <w:p>
            <w:r>
              <w:rPr>
                <w:rFonts w:ascii="Arial" w:cs="Arial" w:eastAsia="Arial" w:hAnsi="Arial"/>
                <w:i/>
                <w:iCs/>
                <w:color w:val="333333"/>
                <w:sz w:val="21"/>
                <w:szCs w:val="21"/>
              </w:rPr>
              <w:t xml:space="preserve">StandardScaler formula: z = (x - mean) / std
Applied to: all 13 numeric/ordinal features
Fit on: X_train only | Transform applied to: X_train and X_test</w:t>
            </w:r>
          </w:p>
        </w:tc>
      </w:tr>
    </w:tbl>
    <w:p>
      <w:pPr>
        <w:spacing w:after="160"/>
      </w:pPr>
    </w:p>
    <w:p>
      <w:pPr>
        <w:pStyle w:val="Heading2"/>
        <w:spacing w:before="240" w:after="100"/>
      </w:pPr>
      <w:r>
        <w:rPr>
          <w:rFonts w:ascii="Arial" w:cs="Arial" w:eastAsia="Arial" w:hAnsi="Arial"/>
          <w:b/>
          <w:bCs/>
          <w:color w:val="2E4057"/>
          <w:sz w:val="24"/>
          <w:szCs w:val="24"/>
        </w:rPr>
        <w:t xml:space="preserve">4.4 Train / Test Split</w:t>
      </w:r>
    </w:p>
    <w:p>
      <w:pPr>
        <w:spacing w:after="160"/>
      </w:pPr>
      <w:r>
        <w:rPr>
          <w:rFonts w:ascii="Arial" w:cs="Arial" w:eastAsia="Arial" w:hAnsi="Arial"/>
          <w:sz w:val="22"/>
          <w:szCs w:val="22"/>
        </w:rPr>
        <w:t xml:space="preserve">The dataset was split into 80% training and 20% testing using stratified sampling (stratify=y, random_state=42). Stratification ensures both sets maintain the original 59.1% / 40.9% class ratio.</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Split</w:t>
            </w:r>
          </w:p>
        </w:tc>
        <w:tc>
          <w:tcPr>
            <w:tcW w:type="dxa" w:w="234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Records</w:t>
            </w:r>
          </w:p>
        </w:tc>
        <w:tc>
          <w:tcPr>
            <w:tcW w:type="dxa" w:w="234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Normal (0)</w:t>
            </w:r>
          </w:p>
        </w:tc>
        <w:tc>
          <w:tcPr>
            <w:tcW w:type="dxa" w:w="234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Disease (1)</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1a"/>
                <w:sz w:val="20"/>
                <w:szCs w:val="20"/>
              </w:rPr>
              <w:t xml:space="preserve">Train (80%)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216,000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127,598 (59.1%)</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88,402 (40.9%)</w:t>
            </w:r>
          </w:p>
        </w:tc>
      </w:tr>
      <w:tr>
        <w:tc>
          <w:tcPr>
            <w:tcW w:type="dxa" w:w="234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1a1a1a"/>
                <w:sz w:val="20"/>
                <w:szCs w:val="20"/>
              </w:rPr>
              <w:t xml:space="preserve">Test (20%)</w:t>
            </w:r>
          </w:p>
        </w:tc>
        <w:tc>
          <w:tcPr>
            <w:tcW w:type="dxa" w:w="234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1a1a1a"/>
                <w:sz w:val="20"/>
                <w:szCs w:val="20"/>
              </w:rPr>
              <w:t xml:space="preserve">54,000</w:t>
            </w:r>
          </w:p>
        </w:tc>
        <w:tc>
          <w:tcPr>
            <w:tcW w:type="dxa" w:w="234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1a1a1a"/>
                <w:sz w:val="20"/>
                <w:szCs w:val="20"/>
              </w:rPr>
              <w:t xml:space="preserve">31,900 (59.1%)</w:t>
            </w:r>
          </w:p>
        </w:tc>
        <w:tc>
          <w:tcPr>
            <w:tcW w:type="dxa" w:w="234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1a1a1a"/>
                <w:sz w:val="20"/>
                <w:szCs w:val="20"/>
              </w:rPr>
              <w:t xml:space="preserve">22,100 (40.9%)</w:t>
            </w:r>
          </w:p>
        </w:tc>
      </w:tr>
      <w:tr>
        <w:tc>
          <w:tcPr>
            <w:tcW w:type="dxa" w:w="234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1B4F72"/>
                <w:sz w:val="20"/>
                <w:szCs w:val="20"/>
              </w:rPr>
              <w:t xml:space="preserve">Total</w:t>
            </w:r>
          </w:p>
        </w:tc>
        <w:tc>
          <w:tcPr>
            <w:tcW w:type="dxa" w:w="234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1B4F72"/>
                <w:sz w:val="20"/>
                <w:szCs w:val="20"/>
              </w:rPr>
              <w:t xml:space="preserve">270,000</w:t>
            </w:r>
          </w:p>
        </w:tc>
        <w:tc>
          <w:tcPr>
            <w:tcW w:type="dxa" w:w="234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1a1a1a"/>
                <w:sz w:val="20"/>
                <w:szCs w:val="20"/>
              </w:rPr>
              <w:t xml:space="preserve">159,498 (59.1%)</w:t>
            </w:r>
          </w:p>
        </w:tc>
        <w:tc>
          <w:tcPr>
            <w:tcW w:type="dxa" w:w="234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1a1a1a"/>
                <w:sz w:val="20"/>
                <w:szCs w:val="20"/>
              </w:rPr>
              <w:t xml:space="preserve">110,502 (40.9%)</w:t>
            </w:r>
          </w:p>
        </w:tc>
      </w:tr>
    </w:tbl>
    <w:p>
      <w:pPr>
        <w:spacing w:after="240"/>
      </w:pPr>
    </w:p>
    <w:p>
      <w:pPr>
        <w:pBdr>
          <w:bottom w:val="single" w:color="E0E0E0" w:sz="4" w:space="1"/>
        </w:pBdr>
        <w:spacing w:after="240" w:before="80"/>
      </w:pPr>
    </w:p>
    <w:p>
      <w:pPr>
        <w:pStyle w:val="Heading1"/>
        <w:pBdr>
          <w:bottom w:val="single" w:color="1B4F72" w:sz="6" w:space="1"/>
        </w:pBdr>
        <w:spacing w:before="360" w:after="160"/>
      </w:pPr>
      <w:r>
        <w:rPr>
          <w:rFonts w:ascii="Arial" w:cs="Arial" w:eastAsia="Arial" w:hAnsi="Arial"/>
          <w:b/>
          <w:bCs/>
          <w:color w:val="1B4F72"/>
          <w:sz w:val="30"/>
          <w:szCs w:val="30"/>
        </w:rPr>
        <w:t xml:space="preserve">5. Preprocessing — Changes Made (Version 2)</w:t>
      </w:r>
    </w:p>
    <w:p>
      <w:pPr>
        <w:spacing w:after="160"/>
      </w:pPr>
      <w:r>
        <w:rPr>
          <w:rFonts w:ascii="Arial" w:cs="Arial" w:eastAsia="Arial" w:hAnsi="Arial"/>
          <w:sz w:val="22"/>
          <w:szCs w:val="22"/>
        </w:rPr>
        <w:t xml:space="preserve">After completing the initial preprocessing and moving to the model training stage, a problem was discovered that required changes to the preprocessing script. This section documents what was changed, why it was changed, and what problem each change prevents.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F4444" w:sz="3"/>
              <w:left w:val="thick" w:color="EF4444" w:sz="12"/>
              <w:bottom w:val="single" w:color="EF4444" w:sz="3"/>
              <w:right w:val="single" w:color="EF4444" w:sz="3"/>
            </w:tcBorders>
            <w:shd w:fill="FEE2E2" w:val="clear"/>
            <w:tcMar>
              <w:top w:type="dxa" w:w="120"/>
              <w:left w:type="dxa" w:w="200"/>
              <w:bottom w:type="dxa" w:w="120"/>
              <w:right w:type="dxa" w:w="200"/>
            </w:tcMar>
          </w:tcPr>
          <w:p>
            <w:r>
              <w:rPr>
                <w:rFonts w:ascii="Arial" w:cs="Arial" w:eastAsia="Arial" w:hAnsi="Arial"/>
                <w:i/>
                <w:iCs/>
                <w:color w:val="333333"/>
                <w:sz w:val="21"/>
                <w:szCs w:val="21"/>
              </w:rPr>
              <w:t xml:space="preserve">The models were trained on already-scaled CSV files (X_train.csv, X_test.csv). However, the original preprocessing.py never saved the scaler object to disk. This meant there was no way to apply the same scaling transformation at inference time — when a user enters raw input into the web application, the model receives unscaled values it was never trained on, producing completely wrong predictions.</w:t>
            </w:r>
          </w:p>
        </w:tc>
      </w:tr>
    </w:tbl>
    <w:p>
      <w:pPr>
        <w:spacing w:after="160"/>
      </w:pPr>
    </w:p>
    <w:p>
      <w:pPr>
        <w:pStyle w:val="Heading2"/>
        <w:spacing w:before="240" w:after="100"/>
      </w:pPr>
      <w:r>
        <w:rPr>
          <w:rFonts w:ascii="Arial" w:cs="Arial" w:eastAsia="Arial" w:hAnsi="Arial"/>
          <w:b/>
          <w:bCs/>
          <w:color w:val="2E4057"/>
          <w:sz w:val="24"/>
          <w:szCs w:val="24"/>
        </w:rPr>
        <w:t xml:space="preserve">5.1 Change 1 — Added import pickle</w:t>
      </w:r>
    </w:p>
    <w:p>
      <w:pPr>
        <w:spacing w:after="160"/>
      </w:pPr>
      <w:r>
        <w:rPr>
          <w:rFonts w:ascii="Arial" w:cs="Arial" w:eastAsia="Arial" w:hAnsi="Arial"/>
          <w:sz w:val="22"/>
          <w:szCs w:val="22"/>
        </w:rPr>
        <w:t xml:space="preserve">The original script had no way to save Python objects to disk. Adding pickle enables serialization of the scaler and column list.</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0392B" w:sz="1"/>
              <w:left w:val="single" w:color="C0392B" w:sz="1"/>
              <w:bottom w:val="single" w:color="C0392B" w:sz="1"/>
              <w:right w:val="single" w:color="C0392B" w:sz="1"/>
            </w:tcBorders>
            <w:shd w:fill="C0392B" w:val="clear"/>
            <w:tcMar>
              <w:top w:type="dxa" w:w="80"/>
              <w:left w:type="dxa" w:w="120"/>
              <w:bottom w:type="dxa" w:w="80"/>
              <w:right w:type="dxa" w:w="120"/>
            </w:tcMar>
          </w:tcPr>
          <w:p>
            <w:r>
              <w:rPr>
                <w:rFonts w:ascii="Arial" w:cs="Arial" w:eastAsia="Arial" w:hAnsi="Arial"/>
                <w:b/>
                <w:bCs/>
                <w:color w:val="FFFFFF"/>
                <w:sz w:val="20"/>
                <w:szCs w:val="20"/>
              </w:rPr>
              <w:t xml:space="preserve">Before</w:t>
            </w:r>
          </w:p>
        </w:tc>
        <w:tc>
          <w:tcPr>
            <w:tcW w:type="dxa" w:w="4680"/>
            <w:tcBorders>
              <w:top w:val="single" w:color="1B6B3A" w:sz="1"/>
              <w:left w:val="single" w:color="1B6B3A" w:sz="1"/>
              <w:bottom w:val="single" w:color="1B6B3A" w:sz="1"/>
              <w:right w:val="single" w:color="1B6B3A" w:sz="1"/>
            </w:tcBorders>
            <w:shd w:fill="1B6B3A" w:val="clear"/>
            <w:tcMar>
              <w:top w:type="dxa" w:w="80"/>
              <w:left w:type="dxa" w:w="120"/>
              <w:bottom w:type="dxa" w:w="80"/>
              <w:right w:type="dxa" w:w="120"/>
            </w:tcMar>
          </w:tcPr>
          <w:p>
            <w:r>
              <w:rPr>
                <w:rFonts w:ascii="Arial" w:cs="Arial" w:eastAsia="Arial" w:hAnsi="Arial"/>
                <w:b/>
                <w:bCs/>
                <w:color w:val="FFFFFF"/>
                <w:sz w:val="20"/>
                <w:szCs w:val="20"/>
              </w:rPr>
              <w:t xml:space="preserve">After</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999999"/>
                <w:sz w:val="18"/>
                <w:szCs w:val="18"/>
              </w:rPr>
              <w:t xml:space="preserve"># pickle not imported</w:t>
            </w:r>
          </w:p>
        </w:tc>
        <w:tc>
          <w:tcPr>
            <w:tcW w:type="dxa" w:w="4680"/>
            <w:tcBorders>
              <w:top w:val="single" w:color="CCCCCC" w:sz="1"/>
              <w:left w:val="single" w:color="CCCCCC" w:sz="1"/>
              <w:bottom w:val="single" w:color="CCCCCC" w:sz="1"/>
              <w:right w:val="single" w:color="CCCCCC" w:sz="1"/>
            </w:tcBorders>
            <w:shd w:fill="F0FFF4" w:val="clear"/>
            <w:tcMar>
              <w:top w:type="dxa" w:w="80"/>
              <w:left w:type="dxa" w:w="120"/>
              <w:bottom w:type="dxa" w:w="80"/>
              <w:right w:type="dxa" w:w="120"/>
            </w:tcMar>
          </w:tcPr>
          <w:p>
            <w:r>
              <w:rPr>
                <w:rFonts w:ascii="Courier New" w:cs="Courier New" w:eastAsia="Courier New" w:hAnsi="Courier New"/>
                <w:color w:val="1B6B3A"/>
                <w:sz w:val="18"/>
                <w:szCs w:val="18"/>
              </w:rPr>
              <w:t xml:space="preserve">import pickle</w:t>
            </w:r>
          </w:p>
        </w:tc>
      </w:tr>
    </w:tbl>
    <w:p>
      <w:pPr>
        <w:spacing w:after="80"/>
      </w:pPr>
    </w:p>
    <w:p>
      <w:pPr>
        <w:spacing w:after="160"/>
      </w:pPr>
      <w:r>
        <w:rPr>
          <w:rFonts w:ascii="Arial" w:cs="Arial" w:eastAsia="Arial" w:hAnsi="Arial"/>
          <w:sz w:val="22"/>
          <w:szCs w:val="22"/>
        </w:rPr>
        <w:t xml:space="preserve">Purpose: Required for saving and loading Python objects (scaler, column list) between scripts.</w:t>
      </w:r>
    </w:p>
    <w:p>
      <w:pPr>
        <w:spacing w:after="160"/>
      </w:pPr>
    </w:p>
    <w:p>
      <w:pPr>
        <w:pStyle w:val="Heading2"/>
        <w:spacing w:before="240" w:after="100"/>
      </w:pPr>
      <w:r>
        <w:rPr>
          <w:rFonts w:ascii="Arial" w:cs="Arial" w:eastAsia="Arial" w:hAnsi="Arial"/>
          <w:b/>
          <w:bCs/>
          <w:color w:val="2E4057"/>
          <w:sz w:val="24"/>
          <w:szCs w:val="24"/>
        </w:rPr>
        <w:t xml:space="preserve">5.2 Change 2 — Save scaler.pkl after fitting</w:t>
      </w:r>
    </w:p>
    <w:p>
      <w:pPr>
        <w:spacing w:after="160"/>
      </w:pPr>
      <w:r>
        <w:rPr>
          <w:rFonts w:ascii="Arial" w:cs="Arial" w:eastAsia="Arial" w:hAnsi="Arial"/>
          <w:sz w:val="22"/>
          <w:szCs w:val="22"/>
        </w:rPr>
        <w:t xml:space="preserve">The most critical change. The scaler was fitted on training data but never saved. Any script that later needs to scale input (such as the web app) had no access to the same scaler, meaning raw input was fed to a model trained on scaled data.</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0392B" w:sz="1"/>
              <w:left w:val="single" w:color="C0392B" w:sz="1"/>
              <w:bottom w:val="single" w:color="C0392B" w:sz="1"/>
              <w:right w:val="single" w:color="C0392B" w:sz="1"/>
            </w:tcBorders>
            <w:shd w:fill="C0392B" w:val="clear"/>
            <w:tcMar>
              <w:top w:type="dxa" w:w="80"/>
              <w:left w:type="dxa" w:w="120"/>
              <w:bottom w:type="dxa" w:w="80"/>
              <w:right w:type="dxa" w:w="120"/>
            </w:tcMar>
          </w:tcPr>
          <w:p>
            <w:r>
              <w:rPr>
                <w:rFonts w:ascii="Arial" w:cs="Arial" w:eastAsia="Arial" w:hAnsi="Arial"/>
                <w:b/>
                <w:bCs/>
                <w:color w:val="FFFFFF"/>
                <w:sz w:val="20"/>
                <w:szCs w:val="20"/>
              </w:rPr>
              <w:t xml:space="preserve">Before</w:t>
            </w:r>
          </w:p>
        </w:tc>
        <w:tc>
          <w:tcPr>
            <w:tcW w:type="dxa" w:w="4680"/>
            <w:tcBorders>
              <w:top w:val="single" w:color="1B6B3A" w:sz="1"/>
              <w:left w:val="single" w:color="1B6B3A" w:sz="1"/>
              <w:bottom w:val="single" w:color="1B6B3A" w:sz="1"/>
              <w:right w:val="single" w:color="1B6B3A" w:sz="1"/>
            </w:tcBorders>
            <w:shd w:fill="1B6B3A" w:val="clear"/>
            <w:tcMar>
              <w:top w:type="dxa" w:w="80"/>
              <w:left w:type="dxa" w:w="120"/>
              <w:bottom w:type="dxa" w:w="80"/>
              <w:right w:type="dxa" w:w="120"/>
            </w:tcMar>
          </w:tcPr>
          <w:p>
            <w:r>
              <w:rPr>
                <w:rFonts w:ascii="Arial" w:cs="Arial" w:eastAsia="Arial" w:hAnsi="Arial"/>
                <w:b/>
                <w:bCs/>
                <w:color w:val="FFFFFF"/>
                <w:sz w:val="20"/>
                <w:szCs w:val="20"/>
              </w:rPr>
              <w:t xml:space="preserve">After</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999999"/>
                <w:sz w:val="18"/>
                <w:szCs w:val="18"/>
              </w:rPr>
              <w:t xml:space="preserve">scaler = StandardScaler()</w:t>
            </w:r>
          </w:p>
          <w:p>
            <w:r>
              <w:rPr>
                <w:rFonts w:ascii="Courier New" w:cs="Courier New" w:eastAsia="Courier New" w:hAnsi="Courier New"/>
                <w:color w:val="999999"/>
                <w:sz w:val="18"/>
                <w:szCs w:val="18"/>
              </w:rPr>
              <w:t xml:space="preserve">X_train_scaled = scaler.fit_transform(X_train)</w:t>
            </w:r>
          </w:p>
          <w:p>
            <w:r>
              <w:rPr>
                <w:rFonts w:ascii="Courier New" w:cs="Courier New" w:eastAsia="Courier New" w:hAnsi="Courier New"/>
                <w:color w:val="999999"/>
                <w:sz w:val="18"/>
                <w:szCs w:val="18"/>
              </w:rPr>
              <w:t xml:space="preserve"># scaler never saved</w:t>
            </w:r>
          </w:p>
        </w:tc>
        <w:tc>
          <w:tcPr>
            <w:tcW w:type="dxa" w:w="4680"/>
            <w:tcBorders>
              <w:top w:val="single" w:color="CCCCCC" w:sz="1"/>
              <w:left w:val="single" w:color="CCCCCC" w:sz="1"/>
              <w:bottom w:val="single" w:color="CCCCCC" w:sz="1"/>
              <w:right w:val="single" w:color="CCCCCC" w:sz="1"/>
            </w:tcBorders>
            <w:shd w:fill="F0FFF4" w:val="clear"/>
            <w:tcMar>
              <w:top w:type="dxa" w:w="80"/>
              <w:left w:type="dxa" w:w="120"/>
              <w:bottom w:type="dxa" w:w="80"/>
              <w:right w:type="dxa" w:w="120"/>
            </w:tcMar>
          </w:tcPr>
          <w:p>
            <w:r>
              <w:rPr>
                <w:rFonts w:ascii="Courier New" w:cs="Courier New" w:eastAsia="Courier New" w:hAnsi="Courier New"/>
                <w:color w:val="1B6B3A"/>
                <w:sz w:val="18"/>
                <w:szCs w:val="18"/>
              </w:rPr>
              <w:t xml:space="preserve">scaler = StandardScaler()</w:t>
            </w:r>
          </w:p>
          <w:p>
            <w:r>
              <w:rPr>
                <w:rFonts w:ascii="Courier New" w:cs="Courier New" w:eastAsia="Courier New" w:hAnsi="Courier New"/>
                <w:color w:val="1B6B3A"/>
                <w:sz w:val="18"/>
                <w:szCs w:val="18"/>
              </w:rPr>
              <w:t xml:space="preserve">X_train_scaled = scaler.fit_transform(X_train)</w:t>
            </w:r>
          </w:p>
          <w:p>
            <w:r>
              <w:rPr>
                <w:rFonts w:ascii="Courier New" w:cs="Courier New" w:eastAsia="Courier New" w:hAnsi="Courier New"/>
                <w:color w:val="1B6B3A"/>
                <w:sz w:val="18"/>
                <w:szCs w:val="18"/>
              </w:rPr>
              <w:t xml:space="preserve">with open('processed/scaler.pkl','wb') as f:</w:t>
            </w:r>
          </w:p>
          <w:p>
            <w:r>
              <w:rPr>
                <w:rFonts w:ascii="Courier New" w:cs="Courier New" w:eastAsia="Courier New" w:hAnsi="Courier New"/>
                <w:color w:val="1B6B3A"/>
                <w:sz w:val="18"/>
                <w:szCs w:val="18"/>
              </w:rPr>
              <w:t xml:space="preserve">    pickle.dump(scaler, f)</w:t>
            </w:r>
          </w:p>
        </w:tc>
      </w:tr>
    </w:tbl>
    <w:p>
      <w:pPr>
        <w:spacing w:after="80"/>
      </w:pPr>
    </w:p>
    <w:p>
      <w:pPr>
        <w:spacing w:after="160"/>
      </w:pPr>
      <w:r>
        <w:rPr>
          <w:rFonts w:ascii="Arial" w:cs="Arial" w:eastAsia="Arial" w:hAnsi="Arial"/>
          <w:sz w:val="22"/>
          <w:szCs w:val="22"/>
        </w:rPr>
        <w:t xml:space="preserve">Purpose: Saves the fitted scaler so that the exact same mean and standard deviation values used during training can be applied to new input at inference time. Without this, the model receives raw unscaled values and produces completely wrong predictions.</w:t>
      </w:r>
    </w:p>
    <w:p>
      <w:pPr>
        <w:spacing w:after="160"/>
      </w:pPr>
    </w:p>
    <w:p>
      <w:pPr>
        <w:pStyle w:val="Heading2"/>
        <w:spacing w:before="240" w:after="100"/>
      </w:pPr>
      <w:r>
        <w:rPr>
          <w:rFonts w:ascii="Arial" w:cs="Arial" w:eastAsia="Arial" w:hAnsi="Arial"/>
          <w:b/>
          <w:bCs/>
          <w:color w:val="2E4057"/>
          <w:sz w:val="24"/>
          <w:szCs w:val="24"/>
        </w:rPr>
        <w:t xml:space="preserve">5.3 Change 3 — Save columns.pkl (column order)</w:t>
      </w:r>
    </w:p>
    <w:p>
      <w:pPr>
        <w:spacing w:after="160"/>
      </w:pPr>
      <w:r>
        <w:rPr>
          <w:rFonts w:ascii="Arial" w:cs="Arial" w:eastAsia="Arial" w:hAnsi="Arial"/>
          <w:sz w:val="22"/>
          <w:szCs w:val="22"/>
        </w:rPr>
        <w:t xml:space="preserve">The exact order of feature columns used during training was not saved. If a different script builds the input array in a different order, each value gets mapped to the wrong feature — a silent but critical error.</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0392B" w:sz="1"/>
              <w:left w:val="single" w:color="C0392B" w:sz="1"/>
              <w:bottom w:val="single" w:color="C0392B" w:sz="1"/>
              <w:right w:val="single" w:color="C0392B" w:sz="1"/>
            </w:tcBorders>
            <w:shd w:fill="C0392B" w:val="clear"/>
            <w:tcMar>
              <w:top w:type="dxa" w:w="80"/>
              <w:left w:type="dxa" w:w="120"/>
              <w:bottom w:type="dxa" w:w="80"/>
              <w:right w:type="dxa" w:w="120"/>
            </w:tcMar>
          </w:tcPr>
          <w:p>
            <w:r>
              <w:rPr>
                <w:rFonts w:ascii="Arial" w:cs="Arial" w:eastAsia="Arial" w:hAnsi="Arial"/>
                <w:b/>
                <w:bCs/>
                <w:color w:val="FFFFFF"/>
                <w:sz w:val="20"/>
                <w:szCs w:val="20"/>
              </w:rPr>
              <w:t xml:space="preserve">Before</w:t>
            </w:r>
          </w:p>
        </w:tc>
        <w:tc>
          <w:tcPr>
            <w:tcW w:type="dxa" w:w="4680"/>
            <w:tcBorders>
              <w:top w:val="single" w:color="1B6B3A" w:sz="1"/>
              <w:left w:val="single" w:color="1B6B3A" w:sz="1"/>
              <w:bottom w:val="single" w:color="1B6B3A" w:sz="1"/>
              <w:right w:val="single" w:color="1B6B3A" w:sz="1"/>
            </w:tcBorders>
            <w:shd w:fill="1B6B3A" w:val="clear"/>
            <w:tcMar>
              <w:top w:type="dxa" w:w="80"/>
              <w:left w:type="dxa" w:w="120"/>
              <w:bottom w:type="dxa" w:w="80"/>
              <w:right w:type="dxa" w:w="120"/>
            </w:tcMar>
          </w:tcPr>
          <w:p>
            <w:r>
              <w:rPr>
                <w:rFonts w:ascii="Arial" w:cs="Arial" w:eastAsia="Arial" w:hAnsi="Arial"/>
                <w:b/>
                <w:bCs/>
                <w:color w:val="FFFFFF"/>
                <w:sz w:val="20"/>
                <w:szCs w:val="20"/>
              </w:rPr>
              <w:t xml:space="preserve">After</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999999"/>
                <w:sz w:val="18"/>
                <w:szCs w:val="18"/>
              </w:rPr>
              <w:t xml:space="preserve"># column order never saved</w:t>
            </w:r>
          </w:p>
        </w:tc>
        <w:tc>
          <w:tcPr>
            <w:tcW w:type="dxa" w:w="4680"/>
            <w:tcBorders>
              <w:top w:val="single" w:color="CCCCCC" w:sz="1"/>
              <w:left w:val="single" w:color="CCCCCC" w:sz="1"/>
              <w:bottom w:val="single" w:color="CCCCCC" w:sz="1"/>
              <w:right w:val="single" w:color="CCCCCC" w:sz="1"/>
            </w:tcBorders>
            <w:shd w:fill="F0FFF4" w:val="clear"/>
            <w:tcMar>
              <w:top w:type="dxa" w:w="80"/>
              <w:left w:type="dxa" w:w="120"/>
              <w:bottom w:type="dxa" w:w="80"/>
              <w:right w:type="dxa" w:w="120"/>
            </w:tcMar>
          </w:tcPr>
          <w:p>
            <w:r>
              <w:rPr>
                <w:rFonts w:ascii="Courier New" w:cs="Courier New" w:eastAsia="Courier New" w:hAnsi="Courier New"/>
                <w:color w:val="1B6B3A"/>
                <w:sz w:val="18"/>
                <w:szCs w:val="18"/>
              </w:rPr>
              <w:t xml:space="preserve">with open('processed/columns.pkl','wb') as f:</w:t>
            </w:r>
          </w:p>
          <w:p>
            <w:r>
              <w:rPr>
                <w:rFonts w:ascii="Courier New" w:cs="Courier New" w:eastAsia="Courier New" w:hAnsi="Courier New"/>
                <w:color w:val="1B6B3A"/>
                <w:sz w:val="18"/>
                <w:szCs w:val="18"/>
              </w:rPr>
              <w:t xml:space="preserve">    pickle.dump(list(X.columns), f)</w:t>
            </w:r>
          </w:p>
        </w:tc>
      </w:tr>
    </w:tbl>
    <w:p>
      <w:pPr>
        <w:spacing w:after="80"/>
      </w:pPr>
    </w:p>
    <w:p>
      <w:pPr>
        <w:spacing w:after="160"/>
      </w:pPr>
      <w:r>
        <w:rPr>
          <w:rFonts w:ascii="Arial" w:cs="Arial" w:eastAsia="Arial" w:hAnsi="Arial"/>
          <w:sz w:val="22"/>
          <w:szCs w:val="22"/>
        </w:rPr>
        <w:t xml:space="preserve">Purpose: Saves the exact feature names and order used during training. This ensures any other script (web app, inference pipeline) builds the input DataFrame in the same column order, preventing silent feature mismatches.</w:t>
      </w:r>
    </w:p>
    <w:p>
      <w:pPr>
        <w:spacing w:after="160"/>
      </w:pPr>
    </w:p>
    <w:p>
      <w:pPr>
        <w:pStyle w:val="Heading2"/>
        <w:spacing w:before="240" w:after="100"/>
      </w:pPr>
      <w:r>
        <w:rPr>
          <w:rFonts w:ascii="Arial" w:cs="Arial" w:eastAsia="Arial" w:hAnsi="Arial"/>
          <w:b/>
          <w:bCs/>
          <w:color w:val="2E4057"/>
          <w:sz w:val="24"/>
          <w:szCs w:val="24"/>
        </w:rPr>
        <w:t xml:space="preserve">5.4 Summary of Changes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Change</w:t>
            </w:r>
          </w:p>
        </w:tc>
        <w:tc>
          <w:tcPr>
            <w:tcW w:type="dxa" w:w="348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c>
          <w:tcPr>
            <w:tcW w:type="dxa" w:w="348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Problem it prevents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import pickle</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Enables saving Python objects to disk</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Without it, nothing can be serialized</w:t>
            </w:r>
          </w:p>
        </w:tc>
      </w:tr>
      <w:tr>
        <w:tc>
          <w:tcPr>
            <w:tcW w:type="dxa" w:w="24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1a1a1a"/>
                <w:sz w:val="20"/>
                <w:szCs w:val="20"/>
              </w:rPr>
              <w:t xml:space="preserve">Save scaler.pkl</w:t>
            </w:r>
          </w:p>
        </w:tc>
        <w:tc>
          <w:tcPr>
            <w:tcW w:type="dxa" w:w="348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1a1a1a"/>
                <w:sz w:val="20"/>
                <w:szCs w:val="20"/>
              </w:rPr>
              <w:t xml:space="preserve">Persists the fitted StandardScaler</w:t>
            </w:r>
          </w:p>
        </w:tc>
        <w:tc>
          <w:tcPr>
            <w:tcW w:type="dxa" w:w="348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1a1a1a"/>
                <w:sz w:val="20"/>
                <w:szCs w:val="20"/>
              </w:rPr>
              <w:t xml:space="preserve">Prevents wrong predictions from unscaled input at inference time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Save columns.pkl</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Persists the exact column order from training</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Prevents silent feature mismatch between training and inference</w:t>
            </w:r>
          </w:p>
        </w:tc>
      </w:tr>
    </w:tbl>
    <w:p>
      <w:pPr>
        <w:spacing w:after="240"/>
      </w:pPr>
    </w:p>
    <w:p>
      <w:pPr>
        <w:pBdr>
          <w:bottom w:val="single" w:color="E0E0E0" w:sz="4" w:space="1"/>
        </w:pBdr>
        <w:spacing w:after="240" w:before="80"/>
      </w:pPr>
    </w:p>
    <w:p>
      <w:pPr>
        <w:pStyle w:val="Heading1"/>
        <w:pBdr>
          <w:bottom w:val="single" w:color="1B4F72" w:sz="6" w:space="1"/>
        </w:pBdr>
        <w:spacing w:before="360" w:after="160"/>
      </w:pPr>
      <w:r>
        <w:rPr>
          <w:rFonts w:ascii="Arial" w:cs="Arial" w:eastAsia="Arial" w:hAnsi="Arial"/>
          <w:b/>
          <w:bCs/>
          <w:color w:val="1B4F72"/>
          <w:sz w:val="30"/>
          <w:szCs w:val="30"/>
        </w:rPr>
        <w:t xml:space="preserve">6. Model Training Results</w:t>
      </w:r>
    </w:p>
    <w:p>
      <w:pPr>
        <w:spacing w:after="160"/>
      </w:pPr>
      <w:r>
        <w:rPr>
          <w:rFonts w:ascii="Arial" w:cs="Arial" w:eastAsia="Arial" w:hAnsi="Arial"/>
          <w:sz w:val="22"/>
          <w:szCs w:val="22"/>
        </w:rPr>
        <w:t xml:space="preserve">After updating the preprocessing pipeline, three models were trained on the correctly processed data. The evaluation was performed on the held-out test set of 54,000 records using five standard classification metrics.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392"/>
        <w:gridCol w:w="1392"/>
        <w:gridCol w:w="1392"/>
        <w:gridCol w:w="1392"/>
        <w:gridCol w:w="1392"/>
      </w:tblGrid>
      <w:tr>
        <w:tc>
          <w:tcPr>
            <w:tcW w:type="dxa" w:w="24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Model</w:t>
            </w:r>
          </w:p>
        </w:tc>
        <w:tc>
          <w:tcPr>
            <w:tcW w:type="dxa" w:w="1392"/>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Accuracy</w:t>
            </w:r>
          </w:p>
        </w:tc>
        <w:tc>
          <w:tcPr>
            <w:tcW w:type="dxa" w:w="1392"/>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Precision</w:t>
            </w:r>
          </w:p>
        </w:tc>
        <w:tc>
          <w:tcPr>
            <w:tcW w:type="dxa" w:w="1392"/>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Recall</w:t>
            </w:r>
          </w:p>
        </w:tc>
        <w:tc>
          <w:tcPr>
            <w:tcW w:type="dxa" w:w="1392"/>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F1-Score</w:t>
            </w:r>
          </w:p>
        </w:tc>
        <w:tc>
          <w:tcPr>
            <w:tcW w:type="dxa" w:w="1392"/>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ROC-AUC</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1B4F72"/>
                <w:sz w:val="20"/>
                <w:szCs w:val="20"/>
              </w:rPr>
              <w:t xml:space="preserve">Gradient Boosting</w:t>
            </w:r>
          </w:p>
        </w:tc>
        <w:tc>
          <w:tcPr>
            <w:tcW w:type="dxa" w:w="1392"/>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1B4F72"/>
                <w:sz w:val="20"/>
                <w:szCs w:val="20"/>
              </w:rPr>
              <w:t xml:space="preserve">76.51%</w:t>
            </w:r>
          </w:p>
        </w:tc>
        <w:tc>
          <w:tcPr>
            <w:tcW w:type="dxa" w:w="1392"/>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1B4F72"/>
                <w:sz w:val="20"/>
                <w:szCs w:val="20"/>
              </w:rPr>
              <w:t xml:space="preserve">72.59%</w:t>
            </w:r>
          </w:p>
        </w:tc>
        <w:tc>
          <w:tcPr>
            <w:tcW w:type="dxa" w:w="1392"/>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1B4F72"/>
                <w:sz w:val="20"/>
                <w:szCs w:val="20"/>
              </w:rPr>
              <w:t xml:space="preserve">68.33%</w:t>
            </w:r>
          </w:p>
        </w:tc>
        <w:tc>
          <w:tcPr>
            <w:tcW w:type="dxa" w:w="1392"/>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1B4F72"/>
                <w:sz w:val="20"/>
                <w:szCs w:val="20"/>
              </w:rPr>
              <w:t xml:space="preserve">70.39%</w:t>
            </w:r>
          </w:p>
        </w:tc>
        <w:tc>
          <w:tcPr>
            <w:tcW w:type="dxa" w:w="1392"/>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1B4F72"/>
                <w:sz w:val="20"/>
                <w:szCs w:val="20"/>
              </w:rPr>
              <w:t xml:space="preserve">82.52%</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Logistic Regression</w:t>
            </w:r>
          </w:p>
        </w:tc>
        <w:tc>
          <w:tcPr>
            <w:tcW w:type="dxa" w:w="139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76.04%</w:t>
            </w:r>
          </w:p>
        </w:tc>
        <w:tc>
          <w:tcPr>
            <w:tcW w:type="dxa" w:w="139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73.66%</w:t>
            </w:r>
          </w:p>
        </w:tc>
        <w:tc>
          <w:tcPr>
            <w:tcW w:type="dxa" w:w="139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64.39%</w:t>
            </w:r>
          </w:p>
        </w:tc>
        <w:tc>
          <w:tcPr>
            <w:tcW w:type="dxa" w:w="139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68.71%</w:t>
            </w:r>
          </w:p>
        </w:tc>
        <w:tc>
          <w:tcPr>
            <w:tcW w:type="dxa" w:w="139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82.05%</w:t>
            </w:r>
          </w:p>
        </w:tc>
      </w:tr>
      <w:tr>
        <w:tc>
          <w:tcPr>
            <w:tcW w:type="dxa" w:w="24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1a1a1a"/>
                <w:sz w:val="20"/>
                <w:szCs w:val="20"/>
              </w:rPr>
              <w:t xml:space="preserve">Random Forest</w:t>
            </w:r>
          </w:p>
        </w:tc>
        <w:tc>
          <w:tcPr>
            <w:tcW w:type="dxa" w:w="1392"/>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1a1a1a"/>
                <w:sz w:val="20"/>
                <w:szCs w:val="20"/>
              </w:rPr>
              <w:t xml:space="preserve">75.14%</w:t>
            </w:r>
          </w:p>
        </w:tc>
        <w:tc>
          <w:tcPr>
            <w:tcW w:type="dxa" w:w="1392"/>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1a1a1a"/>
                <w:sz w:val="20"/>
                <w:szCs w:val="20"/>
              </w:rPr>
              <w:t xml:space="preserve">70.27%</w:t>
            </w:r>
          </w:p>
        </w:tc>
        <w:tc>
          <w:tcPr>
            <w:tcW w:type="dxa" w:w="1392"/>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1a1a1a"/>
                <w:sz w:val="20"/>
                <w:szCs w:val="20"/>
              </w:rPr>
              <w:t xml:space="preserve">67.89%</w:t>
            </w:r>
          </w:p>
        </w:tc>
        <w:tc>
          <w:tcPr>
            <w:tcW w:type="dxa" w:w="1392"/>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1a1a1a"/>
                <w:sz w:val="20"/>
                <w:szCs w:val="20"/>
              </w:rPr>
              <w:t xml:space="preserve">69.06%</w:t>
            </w:r>
          </w:p>
        </w:tc>
        <w:tc>
          <w:tcPr>
            <w:tcW w:type="dxa" w:w="1392"/>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1a1a1a"/>
                <w:sz w:val="20"/>
                <w:szCs w:val="20"/>
              </w:rPr>
              <w:t xml:space="preserve">80.43%</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F72" w:sz="3"/>
              <w:left w:val="thick" w:color="1B4F72" w:sz="12"/>
              <w:bottom w:val="single" w:color="1B4F72" w:sz="3"/>
              <w:right w:val="single" w:color="1B4F72" w:sz="3"/>
            </w:tcBorders>
            <w:shd w:fill="EBF5FB" w:val="clear"/>
            <w:tcMar>
              <w:top w:type="dxa" w:w="120"/>
              <w:left w:type="dxa" w:w="200"/>
              <w:bottom w:type="dxa" w:w="120"/>
              <w:right w:type="dxa" w:w="200"/>
            </w:tcMar>
          </w:tcPr>
          <w:p>
            <w:r>
              <w:rPr>
                <w:rFonts w:ascii="Arial" w:cs="Arial" w:eastAsia="Arial" w:hAnsi="Arial"/>
                <w:i/>
                <w:iCs/>
                <w:color w:val="333333"/>
                <w:sz w:val="21"/>
                <w:szCs w:val="21"/>
              </w:rPr>
              <w:t xml:space="preserve">Gradient Boosting leads in 4 out of 5 metrics — Accuracy (76.51%), Recall (68.33%), F1-score (70.39%), and ROC-AUC (82.52%). It was selected as the best model for the next stage of the project.</w:t>
            </w:r>
          </w:p>
        </w:tc>
      </w:tr>
    </w:tbl>
    <w:p>
      <w:pPr>
        <w:spacing w:after="240"/>
      </w:pPr>
    </w:p>
    <w:p>
      <w:pPr>
        <w:pBdr>
          <w:bottom w:val="single" w:color="E0E0E0" w:sz="4" w:space="1"/>
        </w:pBdr>
        <w:spacing w:after="240" w:before="80"/>
      </w:pPr>
    </w:p>
    <w:p>
      <w:pPr>
        <w:pStyle w:val="Heading1"/>
        <w:pBdr>
          <w:bottom w:val="single" w:color="1B4F72" w:sz="6" w:space="1"/>
        </w:pBdr>
        <w:spacing w:before="360" w:after="160"/>
      </w:pPr>
      <w:r>
        <w:rPr>
          <w:rFonts w:ascii="Arial" w:cs="Arial" w:eastAsia="Arial" w:hAnsi="Arial"/>
          <w:b/>
          <w:bCs/>
          <w:color w:val="1B4F72"/>
          <w:sz w:val="30"/>
          <w:szCs w:val="30"/>
        </w:rPr>
        <w:t xml:space="preserve">7. Key Findings &amp; Insights</w:t>
      </w:r>
    </w:p>
    <w:p>
      <w:pPr>
        <w:pStyle w:val="Heading2"/>
        <w:spacing w:before="240" w:after="100"/>
      </w:pPr>
      <w:r>
        <w:rPr>
          <w:rFonts w:ascii="Arial" w:cs="Arial" w:eastAsia="Arial" w:hAnsi="Arial"/>
          <w:b/>
          <w:bCs/>
          <w:color w:val="2E4057"/>
          <w:sz w:val="24"/>
          <w:szCs w:val="24"/>
        </w:rPr>
        <w:t xml:space="preserve">7.1 Dataset Quality</w:t>
      </w:r>
    </w:p>
    <w:p>
      <w:pPr>
        <w:pStyle w:val="ListParagraph"/>
        <w:numPr>
          <w:ilvl w:val="0"/>
          <w:numId w:val="2"/>
        </w:numPr>
        <w:spacing w:after="80"/>
      </w:pPr>
      <w:r>
        <w:rPr>
          <w:rFonts w:ascii="Arial" w:cs="Arial" w:eastAsia="Arial" w:hAnsi="Arial"/>
          <w:sz w:val="22"/>
          <w:szCs w:val="22"/>
        </w:rPr>
        <w:t xml:space="preserve">270,000 records with zero missing values — no imputation required</w:t>
      </w:r>
    </w:p>
    <w:p>
      <w:pPr>
        <w:pStyle w:val="ListParagraph"/>
        <w:numPr>
          <w:ilvl w:val="0"/>
          <w:numId w:val="2"/>
        </w:numPr>
        <w:spacing w:after="80"/>
      </w:pPr>
      <w:r>
        <w:rPr>
          <w:rFonts w:ascii="Arial" w:cs="Arial" w:eastAsia="Arial" w:hAnsi="Arial"/>
          <w:sz w:val="22"/>
          <w:szCs w:val="22"/>
        </w:rPr>
        <w:t xml:space="preserve">Moderate class imbalance (1.44:1 ratio) — within acceptable range, SMOTE not needed</w:t>
      </w:r>
    </w:p>
    <w:p>
      <w:pPr>
        <w:pStyle w:val="ListParagraph"/>
        <w:numPr>
          <w:ilvl w:val="0"/>
          <w:numId w:val="2"/>
        </w:numPr>
        <w:spacing w:after="80"/>
      </w:pPr>
      <w:r>
        <w:rPr>
          <w:rFonts w:ascii="Arial" w:cs="Arial" w:eastAsia="Arial" w:hAnsi="Arial"/>
          <w:sz w:val="22"/>
          <w:szCs w:val="22"/>
        </w:rPr>
        <w:t xml:space="preserve">All features are numeric or binary — minimal encoding overhead</w:t>
      </w:r>
    </w:p>
    <w:p>
      <w:pPr>
        <w:spacing w:after="120"/>
      </w:pPr>
    </w:p>
    <w:p>
      <w:pPr>
        <w:pStyle w:val="Heading2"/>
        <w:spacing w:before="240" w:after="100"/>
      </w:pPr>
      <w:r>
        <w:rPr>
          <w:rFonts w:ascii="Arial" w:cs="Arial" w:eastAsia="Arial" w:hAnsi="Arial"/>
          <w:b/>
          <w:bCs/>
          <w:color w:val="2E4057"/>
          <w:sz w:val="24"/>
          <w:szCs w:val="24"/>
        </w:rPr>
        <w:t xml:space="preserve">7.2 Strongest Predictors</w:t>
      </w:r>
    </w:p>
    <w:p>
      <w:pPr>
        <w:pStyle w:val="ListParagraph"/>
        <w:numPr>
          <w:ilvl w:val="0"/>
          <w:numId w:val="2"/>
        </w:numPr>
        <w:spacing w:after="80"/>
      </w:pPr>
      <w:r>
        <w:rPr>
          <w:rFonts w:ascii="Arial" w:cs="Arial" w:eastAsia="Arial" w:hAnsi="Arial"/>
          <w:sz w:val="22"/>
          <w:szCs w:val="22"/>
        </w:rPr>
        <w:t xml:space="preserve">Exercise angina (r = 0.353) — presence of angina during exercise is the single strongest linear predictor</w:t>
      </w:r>
    </w:p>
    <w:p>
      <w:pPr>
        <w:pStyle w:val="ListParagraph"/>
        <w:numPr>
          <w:ilvl w:val="0"/>
          <w:numId w:val="2"/>
        </w:numPr>
        <w:spacing w:after="80"/>
      </w:pPr>
      <w:r>
        <w:rPr>
          <w:rFonts w:ascii="Arial" w:cs="Arial" w:eastAsia="Arial" w:hAnsi="Arial"/>
          <w:sz w:val="22"/>
          <w:szCs w:val="22"/>
        </w:rPr>
        <w:t xml:space="preserve">Number of vessels fluro (r = 0.332) — more vessels visible = dramatically higher disease rate</w:t>
      </w:r>
    </w:p>
    <w:p>
      <w:pPr>
        <w:pStyle w:val="ListParagraph"/>
        <w:numPr>
          <w:ilvl w:val="0"/>
          <w:numId w:val="2"/>
        </w:numPr>
        <w:spacing w:after="80"/>
      </w:pPr>
      <w:r>
        <w:rPr>
          <w:rFonts w:ascii="Arial" w:cs="Arial" w:eastAsia="Arial" w:hAnsi="Arial"/>
          <w:sz w:val="22"/>
          <w:szCs w:val="22"/>
        </w:rPr>
        <w:t xml:space="preserve">Chest pain type (r = 0.317) — asymptomatic patients (Type 4) show the highest disease rate at 57.8%</w:t>
      </w:r>
    </w:p>
    <w:p>
      <w:pPr>
        <w:pStyle w:val="ListParagraph"/>
        <w:numPr>
          <w:ilvl w:val="0"/>
          <w:numId w:val="2"/>
        </w:numPr>
        <w:spacing w:after="80"/>
      </w:pPr>
      <w:r>
        <w:rPr>
          <w:rFonts w:ascii="Arial" w:cs="Arial" w:eastAsia="Arial" w:hAnsi="Arial"/>
          <w:sz w:val="22"/>
          <w:szCs w:val="22"/>
        </w:rPr>
        <w:t xml:space="preserve">ST depression (r = 0.314) — elevated ST depression strongly associated with disease</w:t>
      </w:r>
    </w:p>
    <w:p>
      <w:pPr>
        <w:pStyle w:val="ListParagraph"/>
        <w:numPr>
          <w:ilvl w:val="0"/>
          <w:numId w:val="2"/>
        </w:numPr>
        <w:spacing w:after="80"/>
      </w:pPr>
      <w:r>
        <w:rPr>
          <w:rFonts w:ascii="Arial" w:cs="Arial" w:eastAsia="Arial" w:hAnsi="Arial"/>
          <w:sz w:val="22"/>
          <w:szCs w:val="22"/>
        </w:rPr>
        <w:t xml:space="preserve">Max HR (r = -0.301) — disease patients achieve lower maximum heart rate (negative relationship)</w:t>
      </w:r>
    </w:p>
    <w:p>
      <w:pPr>
        <w:spacing w:after="120"/>
      </w:pPr>
    </w:p>
    <w:p>
      <w:pPr>
        <w:pStyle w:val="Heading2"/>
        <w:spacing w:before="240" w:after="100"/>
      </w:pPr>
      <w:r>
        <w:rPr>
          <w:rFonts w:ascii="Arial" w:cs="Arial" w:eastAsia="Arial" w:hAnsi="Arial"/>
          <w:b/>
          <w:bCs/>
          <w:color w:val="2E4057"/>
          <w:sz w:val="24"/>
          <w:szCs w:val="24"/>
        </w:rPr>
        <w:t xml:space="preserve">7.3 Notable Clinical Patterns</w:t>
      </w:r>
    </w:p>
    <w:p>
      <w:pPr>
        <w:pStyle w:val="ListParagraph"/>
        <w:numPr>
          <w:ilvl w:val="0"/>
          <w:numId w:val="2"/>
        </w:numPr>
        <w:spacing w:after="80"/>
      </w:pPr>
      <w:r>
        <w:rPr>
          <w:rFonts w:ascii="Arial" w:cs="Arial" w:eastAsia="Arial" w:hAnsi="Arial"/>
          <w:sz w:val="22"/>
          <w:szCs w:val="22"/>
        </w:rPr>
        <w:t xml:space="preserve">Asymptomatic chest pain has the HIGHEST disease rate (57.8%) — a counter-intuitive finding well-documented in cardiology</w:t>
      </w:r>
    </w:p>
    <w:p>
      <w:pPr>
        <w:pStyle w:val="ListParagraph"/>
        <w:numPr>
          <w:ilvl w:val="0"/>
          <w:numId w:val="2"/>
        </w:numPr>
        <w:spacing w:after="80"/>
      </w:pPr>
      <w:r>
        <w:rPr>
          <w:rFonts w:ascii="Arial" w:cs="Arial" w:eastAsia="Arial" w:hAnsi="Arial"/>
          <w:sz w:val="22"/>
          <w:szCs w:val="22"/>
        </w:rPr>
        <w:t xml:space="preserve">Vessel count shows a strong dose-response: 30% at 0 vessels rising to 74% at 3 vessels</w:t>
      </w:r>
    </w:p>
    <w:p>
      <w:pPr>
        <w:pStyle w:val="ListParagraph"/>
        <w:numPr>
          <w:ilvl w:val="0"/>
          <w:numId w:val="2"/>
        </w:numPr>
        <w:spacing w:after="80"/>
      </w:pPr>
      <w:r>
        <w:rPr>
          <w:rFonts w:ascii="Arial" w:cs="Arial" w:eastAsia="Arial" w:hAnsi="Arial"/>
          <w:sz w:val="22"/>
          <w:szCs w:val="22"/>
        </w:rPr>
        <w:t xml:space="preserve">Age and disease: risk increases with age from approximately 18% at age 29-40 to 52% at age 71-77</w:t>
      </w:r>
    </w:p>
    <w:p>
      <w:pPr>
        <w:pStyle w:val="ListParagraph"/>
        <w:numPr>
          <w:ilvl w:val="0"/>
          <w:numId w:val="2"/>
        </w:numPr>
        <w:spacing w:after="80"/>
      </w:pPr>
      <w:r>
        <w:rPr>
          <w:rFonts w:ascii="Arial" w:cs="Arial" w:eastAsia="Arial" w:hAnsi="Arial"/>
          <w:sz w:val="22"/>
          <w:szCs w:val="22"/>
        </w:rPr>
        <w:t xml:space="preserve">Male patients have a higher disease rate than female patients in this dataset</w:t>
      </w:r>
    </w:p>
    <w:p>
      <w:pPr>
        <w:spacing w:after="240"/>
      </w:pPr>
    </w:p>
    <w:p>
      <w:pPr>
        <w:pBdr>
          <w:bottom w:val="single" w:color="E0E0E0" w:sz="4" w:space="1"/>
        </w:pBdr>
        <w:spacing w:after="240" w:before="80"/>
      </w:pPr>
    </w:p>
    <w:p>
      <w:pPr>
        <w:pStyle w:val="Heading1"/>
        <w:pBdr>
          <w:bottom w:val="single" w:color="1B4F72" w:sz="6" w:space="1"/>
        </w:pBdr>
        <w:spacing w:before="360" w:after="160"/>
      </w:pPr>
      <w:r>
        <w:rPr>
          <w:rFonts w:ascii="Arial" w:cs="Arial" w:eastAsia="Arial" w:hAnsi="Arial"/>
          <w:b/>
          <w:bCs/>
          <w:color w:val="1B4F72"/>
          <w:sz w:val="30"/>
          <w:szCs w:val="30"/>
        </w:rPr>
        <w:t xml:space="preserve">8. Conclusion</w:t>
      </w:r>
    </w:p>
    <w:p>
      <w:pPr>
        <w:spacing w:after="160"/>
      </w:pPr>
      <w:r>
        <w:rPr>
          <w:rFonts w:ascii="Arial" w:cs="Arial" w:eastAsia="Arial" w:hAnsi="Arial"/>
          <w:sz w:val="22"/>
          <w:szCs w:val="22"/>
        </w:rPr>
        <w:t xml:space="preserve">This report documents a complete EDA and preprocessing pipeline for heart disease prediction using 270,000 patient records. The dataset is clean, complete, and well-suited for supervised classification. The analysis identifies five strong predictors — Exercise angina, Number of vessels fluro, Chest pain type, ST depression, and Max HR — and reveals important clinical patterns such as the paradoxically high disease rate in asymptomatic patients.</w:t>
      </w:r>
    </w:p>
    <w:p>
      <w:pPr>
        <w:spacing w:after="160"/>
      </w:pPr>
      <w:r>
        <w:rPr>
          <w:rFonts w:ascii="Arial" w:cs="Arial" w:eastAsia="Arial" w:hAnsi="Arial"/>
          <w:sz w:val="22"/>
          <w:szCs w:val="22"/>
        </w:rPr>
        <w:t xml:space="preserve">The preprocessing pipeline was updated in version 2 to save the fitted StandardScaler and column order to disk, preventing inference-time scaling errors and feature mismatches. After reprocessing with the corrected pipeline, three models were trained and evaluated, with Gradient Boosting achieving the best overall performance at 82.52% ROC-AUC.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F72" w:sz="3"/>
              <w:left w:val="thick" w:color="1B4F72" w:sz="12"/>
              <w:bottom w:val="single" w:color="1B4F72" w:sz="3"/>
              <w:right w:val="single" w:color="1B4F72" w:sz="3"/>
            </w:tcBorders>
            <w:shd w:fill="EBF5FB" w:val="clear"/>
            <w:tcMar>
              <w:top w:type="dxa" w:w="120"/>
              <w:left w:type="dxa" w:w="200"/>
              <w:bottom w:type="dxa" w:w="120"/>
              <w:right w:type="dxa" w:w="200"/>
            </w:tcMar>
          </w:tcPr>
          <w:p>
            <w:r>
              <w:rPr>
                <w:rFonts w:ascii="Arial" w:cs="Arial" w:eastAsia="Arial" w:hAnsi="Arial"/>
                <w:i/>
                <w:iCs/>
                <w:color w:val="333333"/>
                <w:sz w:val="21"/>
                <w:szCs w:val="21"/>
              </w:rPr>
              <w:t xml:space="preserve">Data is ready for the next stage.
Train: 216,000 records | Test: 54,000 records
All files saved in: processed/X_train.csv, X_test.csv, y_train.csv, y_test.csv, scaler.pkl, columns.pkl
Selected model for deployment: Gradient Boosting (ROC-AUC: 82.52%)</w:t>
            </w:r>
          </w:p>
        </w:tc>
      </w:tr>
    </w:tbl>
    <w:sectPr>
      <w:headerReference w:type="default" r:id="rId6"/>
      <w:footerReference w:type="default" r:id="rId7"/>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spacing w:before="100"/>
      <w:jc w:val="center"/>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r>
      <w:rPr>
        <w:rFonts w:ascii="Arial" w:cs="Arial" w:eastAsia="Arial" w:hAnsi="Arial"/>
        <w:color w:val="999999"/>
        <w:sz w:val="18"/>
        <w:szCs w:val="18"/>
      </w:rPr>
      <w:t xml:space="preserve"> of </w:t>
    </w:r>
    <w:r>
      <w:rPr>
        <w:rFonts w:ascii="Arial" w:cs="Arial" w:eastAsia="Arial" w:hAnsi="Arial"/>
        <w:color w:val="99999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4F72" w:sz="6" w:space="1"/>
      </w:pBdr>
      <w:spacing w:after="100"/>
    </w:pPr>
    <w:r>
      <w:rPr>
        <w:rFonts w:ascii="Arial" w:cs="Arial" w:eastAsia="Arial" w:hAnsi="Arial"/>
        <w:b/>
        <w:bCs/>
        <w:color w:val="1B4F72"/>
        <w:sz w:val="19"/>
        <w:szCs w:val="19"/>
      </w:rPr>
      <w:t xml:space="preserve">Heart Disease Prediction — EDA, Preprocessing &amp; Model Training Report</w:t>
    </w:r>
    <w:r>
      <w:rPr>
        <w:rFonts w:ascii="Arial" w:cs="Arial" w:eastAsia="Arial" w:hAnsi="Arial"/>
        <w:color w:val="999999"/>
        <w:sz w:val="19"/>
        <w:szCs w:val="19"/>
      </w:rPr>
      <w:t xml:space="preserve">   |   March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B4F72"/>
      <w:sz w:val="30"/>
      <w:szCs w:val="30"/>
    </w:rPr>
  </w:style>
  <w:style w:type="paragraph" w:styleId="Heading2">
    <w:name w:val="Heading 2"/>
    <w:basedOn w:val="Normal"/>
    <w:next w:val="Normal"/>
    <w:qFormat/>
    <w:pPr>
      <w:spacing w:before="240" w:after="100"/>
      <w:outlineLvl w:val="1"/>
    </w:pPr>
    <w:rPr>
      <w:rFonts w:ascii="Arial" w:cs="Arial" w:eastAsia="Arial" w:hAnsi="Arial"/>
      <w:b/>
      <w:bCs/>
      <w:color w:val="2E4057"/>
      <w:sz w:val="24"/>
      <w:szCs w:val="24"/>
    </w:rPr>
  </w:style>
  <w:style w:type="paragraph" w:styleId="Heading3">
    <w:name w:val="Heading 3"/>
    <w:basedOn w:val="Normal"/>
    <w:next w:val="Normal"/>
    <w:qFormat/>
    <w:pPr>
      <w:spacing w:before="180" w:after="80"/>
      <w:outlineLvl w:val="2"/>
    </w:pPr>
    <w:rPr>
      <w:rFonts w:ascii="Arial" w:cs="Arial" w:eastAsia="Arial" w:hAnsi="Arial"/>
      <w:b/>
      <w:bCs/>
      <w:color w:val="2E4057"/>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9f42195c6e7e1f88a0c68eab7cc80599a59e98f5.png"/><Relationship Id="rId9" Type="http://schemas.openxmlformats.org/officeDocument/2006/relationships/image" Target="media/35ea1a47adcc289dd9be797adf4bbdf6416237bc.png"/><Relationship Id="rId10" Type="http://schemas.openxmlformats.org/officeDocument/2006/relationships/image" Target="media/d4fd5baf83899a03438fb4c3932951a93813d015.png"/><Relationship Id="rId11" Type="http://schemas.openxmlformats.org/officeDocument/2006/relationships/image" Target="media/1d4bab0ce53763c3e54464c5b68e1fc10fcfcac0.png"/><Relationship Id="rId12" Type="http://schemas.openxmlformats.org/officeDocument/2006/relationships/image" Target="media/1aafd4dee63724d746612df862cdbe62647d51cf.png"/><Relationship Id="rId13" Type="http://schemas.openxmlformats.org/officeDocument/2006/relationships/image" Target="media/8fd72794cd482bfda2bcace004843a4be9bcf389.png"/><Relationship Id="rId14" Type="http://schemas.openxmlformats.org/officeDocument/2006/relationships/image" Target="media/72e3b7cc7d71822edce86e55870262f8e0848f3b.png"/><Relationship Id="rId15" Type="http://schemas.openxmlformats.org/officeDocument/2006/relationships/image" Target="media/e3856dcdfe8bc54100b5603370983ef130000296.png"/><Relationship Id="rId16" Type="http://schemas.openxmlformats.org/officeDocument/2006/relationships/image" Target="media/95934231da20a568f82a00000351e1aaa557851a.png"/><Relationship Id="rId17" Type="http://schemas.openxmlformats.org/officeDocument/2006/relationships/image" Target="media/4ce162c044484751c1f2436bd2d2f2b7a1a6fa0d.png"/><Relationship Id="rId1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2026-03-20T13:56:09.821Z</dcterms:created>
  <dcterms:modified xsi:type="dcterms:W3CDTF">2026-03-20T13:56:09.822Z</dcterms:modified>
</cp:coreProperties>
</file>

<file path=docProps/custom.xml><?xml version="1.0" encoding="utf-8"?>
<Properties xmlns="http://schemas.openxmlformats.org/officeDocument/2006/custom-properties" xmlns:vt="http://schemas.openxmlformats.org/officeDocument/2006/docPropsVTypes"/>
</file>