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  <w:t xml:space="preserve">Requerimientos Funcionales 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225"/>
        <w:tblGridChange w:id="0">
          <w:tblGrid>
            <w:gridCol w:w="2565"/>
            <w:gridCol w:w="622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 e inicio de sesión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usuarios deberán identificarse con correo institucional y clave para acceder al sistema.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validará las credenciales a través del servicio de autenticación de Supabase (GoTrue) antes de permitir el acceso al panel de salones y equipos. Si las credenciales no son válidas, notificará el error al usuario.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180"/>
        <w:tblGridChange w:id="0">
          <w:tblGrid>
            <w:gridCol w:w="2610"/>
            <w:gridCol w:w="61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Cerrar sesión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Finalización segura de la sesión activa en el dispositivo móvil.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permitirá cerrar la sesión del usuario mediante un botón visible en la barra superior, destruyendo el token JWT de acceso local y redirigiendo inmediatamente a la pantalla de Login.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RNF05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15"/>
        <w:tblGridChange w:id="0">
          <w:tblGrid>
            <w:gridCol w:w="2475"/>
            <w:gridCol w:w="63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usuarios con roles y avatar opcional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Creación de nuevas cuentas de acceso asociadas a un perfil institucional.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permitirá el registro de usuarios solicitando nombre completo, correo institucional, contraseña y selección de rol (</w:t>
            </w:r>
            <w:r w:rsidDel="00000000" w:rsidR="00000000" w:rsidRPr="00000000">
              <w:rPr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  <w:t xml:space="preserve">). La foto de perfil (avatar) será opcional; si se adjunta, se almacenará en Supabase Storage, y si no, se registrará el valor como nulo.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RNF02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345"/>
        <w:tblGridChange w:id="0">
          <w:tblGrid>
            <w:gridCol w:w="2445"/>
            <w:gridCol w:w="63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Control de accesos y permisos por rol (RBAC)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Restricción de operaciones y módulos según el rol del usuario autenticado.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evaluará el rol del usuario asignado en </w:t>
            </w:r>
            <w:r w:rsidDel="00000000" w:rsidR="00000000" w:rsidRPr="00000000">
              <w:rPr>
                <w:rtl w:val="0"/>
              </w:rPr>
              <w:t xml:space="preserve">perfiles_usuarios</w:t>
            </w:r>
            <w:r w:rsidDel="00000000" w:rsidR="00000000" w:rsidRPr="00000000">
              <w:rPr>
                <w:rtl w:val="0"/>
              </w:rPr>
              <w:t xml:space="preserve">: el rol </w:t>
            </w:r>
            <w:r w:rsidDel="00000000" w:rsidR="00000000" w:rsidRPr="00000000">
              <w:rPr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  <w:t xml:space="preserve"> solo tendrá acceso de lectura (visualización de estados); el rol </w:t>
            </w:r>
            <w:r w:rsidDel="00000000" w:rsidR="00000000" w:rsidRPr="00000000">
              <w:rPr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  <w:t xml:space="preserve"> podrá reportar fallas en los equipos existentes; y el rol </w:t>
            </w:r>
            <w:r w:rsidDel="00000000" w:rsidR="00000000" w:rsidRPr="00000000">
              <w:rPr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  <w:t xml:space="preserve"> tendrá control total (creación de salones, alta de equipos y restauración a operativo).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RNF05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6285"/>
        <w:tblGridChange w:id="0">
          <w:tblGrid>
            <w:gridCol w:w="2490"/>
            <w:gridCol w:w="62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métrica de estados en tiempo real (Dashboard)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Monitoreo en vivo de computadores operativos y con falla.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consumirá un flujo en tiempo real (Supabase Realtime Stream) de la tabla de equipos para mostrar en la pantalla principal dos tarjetas contadoras: el número total de computadores operativos (color verde) y el número total con fallas reportadas (color rojo).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RNF04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210"/>
        <w:tblGridChange w:id="0">
          <w:tblGrid>
            <w:gridCol w:w="2565"/>
            <w:gridCol w:w="621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y registro de ambientes de formación (Salones)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y consulta de aulas o laboratorios de cómputo.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permitirá listar todos los salones de cómputo registrados y habilitará la creación de nuevas aulas exclusivamente al rol de soporte técnico, asignando un identificador único (UUID) y nombre descriptivo.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RNF03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5"/>
        <w:gridCol w:w="6285"/>
        <w:tblGridChange w:id="0">
          <w:tblGrid>
            <w:gridCol w:w="2505"/>
            <w:gridCol w:w="628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e inventario de equipos de cómputo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 computadores dentro de un ambiente previamente registrado.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permitirá registrar nuevos equipos vinculados obligatoriamente al ID de un salón existente. El registro capturará código de identificación (ej: PC-317-01), estado operativo inicial y asociará automáticamente el identificador del usuario creador.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RNF03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345"/>
        <w:tblGridChange w:id="0">
          <w:tblGrid>
            <w:gridCol w:w="2430"/>
            <w:gridCol w:w="63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Reporte y actualización de estado de equipos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Actualización del estado funcional y novedades de un computador registrado.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permitirá reportar el estado de un equipo previamente existente en el salón mediante selectores controlados (evitando la duplicación o registro de códigos inventados). Se registrará la condición (Operativo/Con Falla), la observación descriptiva de la novedad y el ID del usuario que emite el reporte en el campo </w:t>
            </w:r>
            <w:r w:rsidDel="00000000" w:rsidR="00000000" w:rsidRPr="00000000">
              <w:rPr>
                <w:rtl w:val="0"/>
              </w:rPr>
              <w:t xml:space="preserve">reportado_por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RNF04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270"/>
        <w:tblGridChange w:id="0">
          <w:tblGrid>
            <w:gridCol w:w="2520"/>
            <w:gridCol w:w="62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Validación de integridad de dependencias de inventario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Bloqueo de acciones cuando no existen datos primarios asociados.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bloqueará el intento de creación de reportes o equipos si no existen salones registrados previamente en la base de datos, notificando al usuario mediante cuadros de diálogo para guiarlo al registro del ambiente o contactar a soporte técnico.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Requerimiento NO funcional: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RNF01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∙ RNF02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  <w:t xml:space="preserve">Requerimientos No Funcionales </w:t>
      </w:r>
    </w:p>
    <w:tbl>
      <w:tblPr>
        <w:tblStyle w:val="Table10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375"/>
        <w:tblGridChange w:id="0">
          <w:tblGrid>
            <w:gridCol w:w="2415"/>
            <w:gridCol w:w="637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Usabilidad y Ergonomía Móvil (Regla del Pulgar)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intuitiva, accesible y optimizada para el uso con una sola mano.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aplicación móvil implementará los principios ergonómicos de la </w:t>
            </w:r>
            <w:r w:rsidDel="00000000" w:rsidR="00000000" w:rsidRPr="00000000">
              <w:rPr>
                <w:rtl w:val="0"/>
              </w:rPr>
              <w:t xml:space="preserve">"Regla del Pulgar"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Thumb Zone</w:t>
            </w:r>
            <w:r w:rsidDel="00000000" w:rsidR="00000000" w:rsidRPr="00000000">
              <w:rPr>
                <w:rtl w:val="0"/>
              </w:rPr>
              <w:t xml:space="preserve">), situando los elementos informativos en la parte superior y las acciones críticas o botones primarios en el tercio inferior. Los componentes interactivos tendrán un área táctil mínima de 48x48 dp y ofrecerán retroalimentación visual inmediata ante cada acción.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315"/>
        <w:tblGridChange w:id="0">
          <w:tblGrid>
            <w:gridCol w:w="2475"/>
            <w:gridCol w:w="631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Ayuda, Validación y Prevención de Errores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Asistencia contextual en formularios y retroalimentación clara.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interfaz dispondrá de validaciones visuales en tiempo real para campos vacíos, visibilidad de contraseñas y mensajes emergentes (</w:t>
            </w:r>
            <w:r w:rsidDel="00000000" w:rsidR="00000000" w:rsidRPr="00000000">
              <w:rPr>
                <w:rtl w:val="0"/>
              </w:rPr>
              <w:t xml:space="preserve">SnackBars</w:t>
            </w:r>
            <w:r w:rsidDel="00000000" w:rsidR="00000000" w:rsidRPr="00000000">
              <w:rPr>
                <w:rtl w:val="0"/>
              </w:rPr>
              <w:t xml:space="preserve"> o cuadros de diálogo) que indiquen con claridad la causa de cualquier fallo (por ejemplo, salones inexistentes o credenciales incorrectas).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360"/>
        <w:tblGridChange w:id="0">
          <w:tblGrid>
            <w:gridCol w:w="2430"/>
            <w:gridCol w:w="63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Mantenibilidad y Arquitectura Modular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Separación de responsabilidades y código desacoplado.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código base en Flutter estará organizado bajo una arquitectura limpia y modular dividida en capas (</w:t>
            </w:r>
            <w:r w:rsidDel="00000000" w:rsidR="00000000" w:rsidRPr="00000000">
              <w:rPr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services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tl w:val="0"/>
              </w:rPr>
              <w:t xml:space="preserve">widgets</w:t>
            </w:r>
            <w:r w:rsidDel="00000000" w:rsidR="00000000" w:rsidRPr="00000000">
              <w:rPr>
                <w:rtl w:val="0"/>
              </w:rPr>
              <w:t xml:space="preserve">). La base de datos en PostgreSQL empleará restricciones de integridad referencial (</w:t>
            </w:r>
            <w:r w:rsidDel="00000000" w:rsidR="00000000" w:rsidRPr="00000000">
              <w:rPr>
                <w:rtl w:val="0"/>
              </w:rPr>
              <w:t xml:space="preserve">REFERENCES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ON DELETE CASCADE</w:t>
            </w:r>
            <w:r w:rsidDel="00000000" w:rsidR="00000000" w:rsidRPr="00000000">
              <w:rPr>
                <w:rtl w:val="0"/>
              </w:rPr>
              <w:t xml:space="preserve">) para garantizar mantenimiento ágil y trazabilidad histórica.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345"/>
        <w:tblGridChange w:id="0">
          <w:tblGrid>
            <w:gridCol w:w="2445"/>
            <w:gridCol w:w="63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Rendimiento y Reactividad en Tiempo Real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Tiempos de respuesta inmediatos y sincronización continua.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aplicación actualizará los contadores del panel principal y las listas de equipos mediante suscripciones reactivas (</w:t>
            </w:r>
            <w:r w:rsidDel="00000000" w:rsidR="00000000" w:rsidRPr="00000000">
              <w:rPr>
                <w:rtl w:val="0"/>
              </w:rPr>
              <w:t xml:space="preserve">Supabase Realtime Streams</w:t>
            </w:r>
            <w:r w:rsidDel="00000000" w:rsidR="00000000" w:rsidRPr="00000000">
              <w:rPr>
                <w:rtl w:val="0"/>
              </w:rPr>
              <w:t xml:space="preserve">) en menos de 2 segundos tras producirse un cambio en la base de datos, garantizando tiempos de respuesta de consulta inferiores a 3 segundos bajo condiciones normales de red.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360"/>
        <w:tblGridChange w:id="0">
          <w:tblGrid>
            <w:gridCol w:w="2415"/>
            <w:gridCol w:w="636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y Control de Acceso (RBAC)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 robusta y delimitación estricta de privilegios por perfil.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sistema gestionará la sesión mediante tokens web cifrados (JWT emitidos por Supabase Auth). La interfaz y el acceso a operaciones estarán delimitados según el rol del usuario (</w:t>
            </w:r>
            <w:r w:rsidDel="00000000" w:rsidR="00000000" w:rsidRPr="00000000">
              <w:rPr>
                <w:rtl w:val="0"/>
              </w:rPr>
              <w:t xml:space="preserve">aprendiz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soporte</w:t>
            </w:r>
            <w:r w:rsidDel="00000000" w:rsidR="00000000" w:rsidRPr="00000000">
              <w:rPr>
                <w:rtl w:val="0"/>
              </w:rPr>
              <w:t xml:space="preserve">), garantizando que cada registro almacene el identificador único (</w:t>
            </w:r>
            <w:r w:rsidDel="00000000" w:rsidR="00000000" w:rsidRPr="00000000">
              <w:rPr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  <w:t xml:space="preserve">) del responsable en el campo </w:t>
            </w:r>
            <w:r w:rsidDel="00000000" w:rsidR="00000000" w:rsidRPr="00000000">
              <w:rPr>
                <w:rtl w:val="0"/>
              </w:rPr>
              <w:t xml:space="preserve">reportado_por</w:t>
            </w:r>
            <w:r w:rsidDel="00000000" w:rsidR="00000000" w:rsidRPr="00000000">
              <w:rPr>
                <w:rtl w:val="0"/>
              </w:rPr>
              <w:t xml:space="preserve"> para propósitos de auditoría.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255"/>
        <w:tblGridChange w:id="0">
          <w:tblGrid>
            <w:gridCol w:w="2535"/>
            <w:gridCol w:w="625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Especificación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Disponibilidad e Integración en la Nube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Características: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Conectividad continua respaldada por infraestructura Cloud administrada.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Descripción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capa de persistencia y servicios REST de PostgREST estarán alojados en la nube de Supabase, asegurando disponibilidad de servicio durante los horarios de formación y recuperación automática de sesiones ante reconexiones de red.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Prioridad del requerimiento: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