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Кристина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Создадим рабочую директорию и файл.(рис.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439489"/>
            <wp:effectExtent b="0" l="0" r="0" t="0"/>
            <wp:docPr descr="Figure 1: Создаем директорию и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Создаем директорию и файл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Напишем программу, имитирующую сложную функцию. Функции назовем _calul и subcalcul.(рис.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599813"/>
            <wp:effectExtent b="0" l="0" r="0" t="0"/>
            <wp:docPr descr="Figure 2: Запись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Проверим ее работу (рис. [-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531722"/>
            <wp:effectExtent b="0" l="0" r="0" t="0"/>
            <wp:docPr descr="Figure 3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Создадим файл lab09-2.asm и посмотрим, как она работает. Так же проассемблируем его с другими ключами, чтобы была возможность открыть этот файл через gdb.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31722"/>
            <wp:effectExtent b="0" l="0" r="0" t="0"/>
            <wp:docPr descr="Figure 4: Создание файла lab09-2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файла lab09-2.asm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793391"/>
            <wp:effectExtent b="0" l="0" r="0" t="0"/>
            <wp:docPr descr="Figure 5: Запись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Откроем lab09-2 с помощью gdb. Запустим ее там(рис.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181114"/>
            <wp:effectExtent b="0" l="0" r="0" t="0"/>
            <wp:docPr descr="Figure 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Поставим точку останова(breakpoint) на метке _start. Посмотрим дизассемеблированный код, начиная с этой метки.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404649"/>
            <wp:effectExtent b="0" l="0" r="0" t="0"/>
            <wp:docPr descr="Figure 7: Поставим точку останова(breakpoint) на метке _star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Поставим точку останова(breakpoint) на метке _start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404649"/>
            <wp:effectExtent b="0" l="0" r="0" t="0"/>
            <wp:docPr descr="Figure 8: дизассемблированный код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дизассемблированный код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BodyText"/>
      </w:pPr>
      <w:r>
        <w:t xml:space="preserve">Включим режим псевдографики, с помощью которго отбражается код программы и содержимое регистров.</w:t>
      </w:r>
    </w:p>
    <w:p>
      <w:pPr>
        <w:pStyle w:val="BodyText"/>
      </w:pPr>
      <w:r>
        <w:t xml:space="preserve">Посмотрим информацию о наших точках останова. Сделать это можно коротко командой i b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1498314"/>
            <wp:effectExtent b="0" l="0" r="0" t="0"/>
            <wp:docPr descr="Figure 9: Команда i b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Команда i b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например по имени или по адресу (рис. [</w:t>
      </w:r>
      <w:hyperlink w:anchor="fig:009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4610100" cy="1181100"/>
            <wp:effectExtent b="0" l="0" r="0" t="0"/>
            <wp:docPr descr="Figure 10: 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Так же отладчик позволяет менять значения переменных прямо во время выполнения программы (рис. [</w:t>
      </w:r>
      <w:hyperlink w:anchor="fig:010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4610100" cy="1181100"/>
            <wp:effectExtent b="0" l="0" r="0" t="0"/>
            <wp:docPr descr="Figure 11: 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Здесь тоже можно обращаться по адресам переменных(рис. [</w:t>
      </w:r>
      <w:hyperlink w:anchor="fig:011">
        <w:r>
          <w:rPr>
            <w:rStyle w:val="Hyperlink"/>
          </w:rPr>
          <w:t xml:space="preserve">12</w:t>
        </w:r>
      </w:hyperlink>
      <w:r>
        <w:t xml:space="preserve">]). здесь был заменен первый символ переменной msg2 на символ отступа.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4610100" cy="1841500"/>
            <wp:effectExtent b="0" l="0" r="0" t="0"/>
            <wp:docPr descr="Figure 12: 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Выоводить можно так же содержимое регисторов. Выведем значение edx в разных форматах: строчном, 16-ричном, двоичном(рис. [</w:t>
      </w:r>
      <w:hyperlink w:anchor="fig:012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5289401"/>
            <wp:effectExtent b="0" l="0" r="0" t="0"/>
            <wp:docPr descr="Figure 13: 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Как и переменным, регистрам можно задавать значения.(рис. [??])</w:t>
      </w:r>
    </w:p>
    <w:bookmarkStart w:id="0" w:name="fig:012"/>
    <w:p>
      <w:pPr>
        <w:pStyle w:val="CaptionedFigure"/>
      </w:pPr>
      <w:bookmarkStart w:id="76" w:name="fig:012"/>
      <w:r>
        <w:drawing>
          <wp:inline>
            <wp:extent cx="5334000" cy="5181114"/>
            <wp:effectExtent b="0" l="0" r="0" t="0"/>
            <wp:docPr descr="Figure 14: 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Скопируем файл из лабораторной 9, переименуем и создадим исполняемый файл. Откроем отладчик и зададим аргументы. Создадим точку останова на метке _start и запустим программу(рис. [</w:t>
      </w:r>
      <w:hyperlink w:anchor="fig:014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649356"/>
            <wp:effectExtent b="0" l="0" r="0" t="0"/>
            <wp:docPr descr="Figure 15: 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Посмотрим на содержимое того,что расположено по адрессу, находящемуся в регистре esp (рис. [</w:t>
      </w:r>
      <w:hyperlink w:anchor="fig:015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2350911"/>
            <wp:effectExtent b="0" l="0" r="0" t="0"/>
            <wp:docPr descr="Figure 16: 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заниемает элемент стека) (рис. [</w:t>
      </w:r>
      <w:hyperlink w:anchor="fig:016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4946216"/>
            <wp:effectExtent b="0" l="0" r="0" t="0"/>
            <wp:docPr descr="Figure 17: 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bookmarkEnd w:id="89"/>
    <w:bookmarkStart w:id="105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rPr>
          <w:bCs/>
          <w:b/>
        </w:rPr>
        <w:t xml:space="preserve">17</w:t>
      </w:r>
    </w:p>
    <w:p>
      <w:pPr>
        <w:pStyle w:val="BodyText"/>
      </w:pPr>
      <w:r>
        <w:t xml:space="preserve">Программа из лабороторной 5, но с использованием подпрограмм (рис. [</w:t>
      </w:r>
      <w:hyperlink w:anchor="fig:017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3" w:name="fig:017"/>
      <w:r>
        <w:drawing>
          <wp:inline>
            <wp:extent cx="5334000" cy="1800649"/>
            <wp:effectExtent b="0" l="0" r="0" t="0"/>
            <wp:docPr descr="Figure 18: 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Проверка ее работоспособности(рис. [</w:t>
      </w:r>
      <w:hyperlink w:anchor="fig:018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7" w:name="fig:018"/>
      <w:r>
        <w:drawing>
          <wp:inline>
            <wp:extent cx="5334000" cy="5606606"/>
            <wp:effectExtent b="0" l="0" r="0" t="0"/>
            <wp:docPr descr="Figure 19: 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p>
      <w:pPr>
        <w:pStyle w:val="BodyText"/>
      </w:pPr>
      <w:r>
        <w:t xml:space="preserve">Просмотр регистров, для поиска ошибки в программе из листинга</w:t>
      </w:r>
    </w:p>
    <w:p>
      <w:pPr>
        <w:pStyle w:val="BodyText"/>
      </w:pPr>
      <w:r>
        <w:t xml:space="preserve">Ошибка была в сторках</w:t>
      </w:r>
    </w:p>
    <w:p>
      <w:pPr>
        <w:pStyle w:val="BodyText"/>
      </w:pPr>
      <w:r>
        <w:t xml:space="preserve">add ebx,eax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ebx,5</w:t>
      </w:r>
      <w:r>
        <w:t xml:space="preserve"> </w:t>
      </w:r>
      <w:r>
        <w:t xml:space="preserve">mov edi,ebx</w:t>
      </w:r>
    </w:p>
    <w:p>
      <w:pPr>
        <w:pStyle w:val="BodyText"/>
      </w:pPr>
      <w:r>
        <w:t xml:space="preserve">Правильно работающая программа представлена на (рис. [</w:t>
      </w:r>
      <w:hyperlink w:anchor="fig:019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1" w:name="fig:019"/>
      <w:r>
        <w:drawing>
          <wp:inline>
            <wp:extent cx="5334000" cy="4977267"/>
            <wp:effectExtent b="0" l="0" r="0" t="0"/>
            <wp:docPr descr="Figure 20: Программа работает правильно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Программа работает правильно</w:t>
      </w:r>
    </w:p>
    <w:bookmarkEnd w:id="0"/>
    <w:p>
      <w:pPr>
        <w:pStyle w:val="BodyText"/>
      </w:pPr>
      <w:r>
        <w:t xml:space="preserve">Проверка корректронсти работы программы, после исправлений (рис. [</w:t>
      </w:r>
      <w:hyperlink w:anchor="fig:020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4977267"/>
            <wp:effectExtent b="0" l="0" r="0" t="0"/>
            <wp:docPr descr="Figure 21: Проверк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</w:t>
      </w:r>
    </w:p>
    <w:bookmarkEnd w:id="0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Бондаренко Кристина</dc:creator>
  <dc:language>ru-RU</dc:language>
  <cp:keywords/>
  <dcterms:created xsi:type="dcterms:W3CDTF">2024-02-13T14:08:28Z</dcterms:created>
  <dcterms:modified xsi:type="dcterms:W3CDTF">2024-02-13T14:08:28Z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