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Landing Page &amp; Acquisition</w:t>
      </w:r>
    </w:p>
    <w:p>
      <w:pPr>
        <w:pStyle w:val="SubtitleStyle"/>
      </w:pPr>
      <w:r>
        <w:t>Витрина продукта и первый вход.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09_MonteRun_Landing_Page_And_Acquisition_Spec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Объяснить ценность MonteRun одним экраном: не советы, не магия, а truth engine для runway и survival. Лендинг должен продавать ясность, а не юмор ради юмора.</w:t>
      </w:r>
    </w:p>
    <w:p>
      <w:pPr>
        <w:pStyle w:val="Heading1"/>
      </w:pPr>
      <w:r>
        <w:t>2. Главное сообщение</w:t>
      </w:r>
    </w:p>
    <w:p>
      <w:pPr/>
      <w:r>
        <w:t>MonteRun показывает, сколько ты реально протянешь, если смоделировать плохие месяцы и убрать копиум.</w:t>
      </w:r>
    </w:p>
    <w:p>
      <w:pPr>
        <w:pStyle w:val="Heading1"/>
      </w:pPr>
      <w:r>
        <w:t>3. Блоки лендинга MVP</w:t>
      </w:r>
    </w:p>
    <w:p>
      <w:pPr>
        <w:spacing w:after="40"/>
        <w:ind w:left="227"/>
      </w:pPr>
      <w:r>
        <w:rPr>
          <w:b/>
        </w:rPr>
        <w:t xml:space="preserve">• </w:t>
      </w:r>
      <w:r>
        <w:t>Hero с core promise и CTA.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Short explanation of Math decides / Levers guide / Voice delivers.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Пример результата с base vs stress.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Блок “why not a normal calculator”.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CTA to try web app or Telegram.</w:t>
      </w:r>
    </w:p>
    <w:p>
      <w:pPr>
        <w:pStyle w:val="Heading1"/>
      </w:pPr>
      <w:r>
        <w:t>4. Tone rules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Продавать truth and clarity, а не стендап.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Сильные verdict examples допустимы как proof of edge.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 обещать успех, только расчёт и сценарии.</w:t>
      </w:r>
    </w:p>
    <w:p>
      <w:pPr>
        <w:pStyle w:val="Heading1"/>
      </w:pPr>
      <w:r>
        <w:t>5. Acquisition assumptions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Канал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Роль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X / Twitter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Виральные карточки и дискуссии.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Reddit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Проверка боли и спорных кейсов.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Telegram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Низкий friction для части аудитории СНГ.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Landing Page &amp; Acquisition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