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</w:pPr>
      <w:r>
        <w:t>MonteRun</w:t>
      </w:r>
    </w:p>
    <w:p>
      <w:pPr>
        <w:pStyle w:val="Heading1"/>
      </w:pPr>
      <w:r>
        <w:rPr>
          <w:sz w:val="40"/>
        </w:rPr>
        <w:t>Спецификация функции: White-Label Readiness</w:t>
      </w:r>
    </w:p>
    <w:p>
      <w:pPr>
        <w:pStyle w:val="SubtitleStyle"/>
      </w:pPr>
      <w:r>
        <w:t>Готовность ядра к будущему B2B без отвлечения от MVP.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E1F2"/>
          <w:left w:val="single" w:sz="8" w:space="0" w:color="D9E1F2"/>
          <w:bottom w:val="single" w:sz="8" w:space="0" w:color="D9E1F2"/>
          <w:right w:val="single" w:sz="8" w:space="0" w:color="D9E1F2"/>
          <w:insideH w:val="single" w:sz="8" w:space="0" w:color="D9E1F2"/>
          <w:insideV w:val="single" w:sz="8" w:space="0" w:color="D9E1F2"/>
        </w:tblBorders>
      </w:tblPr>
      <w:tblGrid>
        <w:gridCol w:w="4929"/>
        <w:gridCol w:w="4929"/>
      </w:tblGrid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Документ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11_MonteRun_White_Label_Readiness_Spec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Статус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Draft v1.0</w:t>
            </w:r>
          </w:p>
        </w:tc>
      </w:tr>
    </w:tbl>
    <w:p/>
    <w:p>
      <w:r>
        <w:rPr>
          <w:b/>
        </w:rPr>
        <w:t xml:space="preserve">Назначение. </w:t>
      </w:r>
      <w:r>
        <w:t>Этот документ описывает одну конкретную функцию продукта MonteRun и фиксирует её цель, логику, интерфейс, правила, метрики и границы реализации для MVP.</w:t>
      </w:r>
    </w:p>
    <w:p>
      <w:r>
        <w:br w:type="page"/>
      </w:r>
    </w:p>
    <w:p>
      <w:pPr>
        <w:pStyle w:val="Heading1"/>
      </w:pPr>
      <w:r>
        <w:t>1. Цель функции</w:t>
      </w:r>
    </w:p>
    <w:p>
      <w:pPr/>
      <w:r>
        <w:t>Сохранить архитектурную возможность продавать ядро как neutral scenario engine в будущем, не начиная B2B-ветку раньше времени.</w:t>
      </w:r>
    </w:p>
    <w:p>
      <w:pPr>
        <w:pStyle w:val="Heading1"/>
      </w:pPr>
      <w:r>
        <w:t>2. Принцип</w:t>
      </w:r>
    </w:p>
    <w:p>
      <w:pPr/>
      <w:r>
        <w:t>White-label readiness - это не отдельный продукт в MVP, а требование к чистоте интерфейсов и разделению слоёв.</w:t>
      </w:r>
    </w:p>
    <w:p>
      <w:pPr>
        <w:pStyle w:val="Heading1"/>
      </w:pPr>
      <w:r>
        <w:t>3. Что должно быть отделено уже сейчас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9E1F2"/>
          <w:left w:val="single" w:sz="7" w:space="0" w:color="D9E1F2"/>
          <w:bottom w:val="single" w:sz="7" w:space="0" w:color="D9E1F2"/>
          <w:right w:val="single" w:sz="7" w:space="0" w:color="D9E1F2"/>
          <w:insideH w:val="single" w:sz="7" w:space="0" w:color="D9E1F2"/>
          <w:insideV w:val="single" w:sz="7" w:space="0" w:color="D9E1F2"/>
        </w:tblBorders>
      </w:tblPr>
      <w:tblGrid>
        <w:gridCol w:w="4929"/>
        <w:gridCol w:w="4929"/>
      </w:tblGrid>
      <w:t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Слой</w:t>
            </w:r>
          </w:p>
        </w:tc>
        <w:tc>
          <w:tcPr>
            <w:tcW w:type="dxa" w:w="6236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Требование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Math core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Независим от tone mode и UI.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Scenario engine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Отдаёт structured data, пригодные для consumer UI и B2B.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Tone layer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Легко отключается или меняется на neutral.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Share layer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Не обязателен для white-label use case.</w:t>
            </w:r>
          </w:p>
        </w:tc>
      </w:tr>
    </w:tbl>
    <w:p/>
    <w:p>
      <w:pPr>
        <w:pStyle w:val="Heading1"/>
      </w:pPr>
      <w:r>
        <w:t>4. Что не делаем сейчас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Продажи банкам.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Enterprise dashboard.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Custom SLAs, roles and permissions.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Отдельный compliance-heavy контур.</w:t>
      </w:r>
    </w:p>
    <w:p>
      <w:pPr>
        <w:pStyle w:val="Heading1"/>
      </w:pPr>
      <w:r>
        <w:t>5. Почему это всё равно полезно</w:t>
      </w:r>
    </w:p>
    <w:p>
      <w:pPr/>
      <w:r>
        <w:t>Если слои будут отделены с самого начала, продукт позже сможет выйти в B2B без переписывания движка и без удаления consumer brand voice из ядра.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370"/>
        <w:sz w:val="17"/>
      </w:rPr>
      <w:t xml:space="preserve">MonteRun • Feature Spec • </w:t>
    </w:r>
    <w:fldSimple w:instr="PAGE">
      <w:r>
        <w:rPr>
          <w:sz w:val="17"/>
          <w:color w:val="5C637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Normal"/>
    <w:pPr>
      <w:keepNext/>
      <w:spacing w:after="40" w:before="0"/>
    </w:pPr>
    <w:rPr>
      <w:rFonts w:ascii="Aptos" w:hAnsi="Aptos"/>
      <w:b/>
      <w:color w:val="1F4E79"/>
      <w:sz w:val="48"/>
    </w:rPr>
  </w:style>
  <w:style w:type="paragraph" w:customStyle="1" w:styleId="SubtitleStyle">
    <w:name w:val="SubtitleStyle"/>
    <w:basedOn w:val="Normal"/>
    <w:pPr>
      <w:keepNext/>
      <w:spacing w:after="240" w:before="0"/>
    </w:pPr>
    <w:rPr>
      <w:rFonts w:ascii="Aptos" w:hAnsi="Aptos"/>
      <w:b w:val="0"/>
      <w:color w:val="5C637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функции: White-Label Readiness</dc:title>
  <dc:subject>MonteRun feature specification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