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300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Куликовская Анастасия Борисовна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Куликовская Анастасия Борисовна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419747, выдан РОВД  Митино г Москвы 29.07.2002г.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Дубравная, д 36, кв 42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8-926-648-97-09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300</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300</w:t>
            </w:r>
            <w:r w:rsidR="00F748F8" w:rsidRPr="00644003">
              <w:t xml:space="preserve"> от </w:t>
            </w:r>
            <w:r w:rsidR="00A01330" w:rsidRPr="00644003">
              <w:t>05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Куликовская Анастасия Борисовна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Куликовская Анастасия Борисовна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17385</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Аниканова Мария Вадимовна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14777</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250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32162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32162</w:t>
            </w:r>
            <w:r w:rsidR="00F427D2" w:rsidRPr="00644003">
              <w:rPr>
                <w:rFonts w:ascii="Times" w:hAnsi="Times"/>
              </w:rPr>
              <w:t xml:space="preserve"> </w:t>
            </w:r>
            <w:r w:rsidR="00F427D2" w:rsidRPr="00644003">
              <w:t>тридцать две тысячи сто шестьдесят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