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600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Ярцева Ирина Валерьевна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Ярцева Ирина Валерьевна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4514 № 609643, выдан Отделением УФМС  России по г Москве по р-ну Нагорный  03.06.2014г.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Варшавское шоссе, д 108, к 1, кв 175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8-916-265-12-07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600</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600</w:t>
            </w:r>
            <w:r w:rsidR="00F748F8" w:rsidRPr="00644003">
              <w:t xml:space="preserve"> от </w:t>
            </w:r>
            <w:r w:rsidR="00A01330" w:rsidRPr="00644003">
              <w:t>05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Ярцева Ирина Валерьевна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«Кронштадт</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Карелия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8</w:t>
            </w:r>
            <w:r w:rsidR="005656BE">
              <w:t xml:space="preserve"> дней,  7</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360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Ярцева Ирина Валерьевна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69776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360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Соколов Георгий Иванович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69776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360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Ярцев Сергей Георгиевич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12460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152012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152012</w:t>
            </w:r>
            <w:r w:rsidR="00F427D2" w:rsidRPr="00644003">
              <w:rPr>
                <w:rFonts w:ascii="Times" w:hAnsi="Times"/>
              </w:rPr>
              <w:t xml:space="preserve"> </w:t>
            </w:r>
            <w:r w:rsidR="00F427D2" w:rsidRPr="00644003">
              <w:t>сто пятьдесят две тысячи двенадцать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