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548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Бондарь Ольга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Бондарь Ольга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139602, выдан ОВД  Ховрино г Москвы 21.12.2000г.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Петрозаводская , д 6, кв 20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8-926-409-33-20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548</w:t>
      </w:r>
      <w:r w:rsidRPr="00644003">
        <w:rPr>
          <w:b/>
          <w:bCs/>
        </w:rPr>
        <w:t xml:space="preserve">  от </w:t>
      </w:r>
      <w:r w:rsidR="00F748F8" w:rsidRPr="00644003">
        <w:rPr>
          <w:b/>
          <w:bCs/>
        </w:rPr>
        <w:t>«</w:t>
      </w:r>
      <w:r w:rsidR="00A01330" w:rsidRPr="00644003">
        <w:rPr>
          <w:b/>
          <w:bCs/>
        </w:rPr>
        <w:t>29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548</w:t>
            </w:r>
            <w:r w:rsidR="00F748F8" w:rsidRPr="00644003">
              <w:t xml:space="preserve"> от </w:t>
            </w:r>
            <w:r w:rsidR="00A01330" w:rsidRPr="00644003">
              <w:t>29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Бондарь Ольга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Бондарь Ольга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18560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Литвишков Юрий Львович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18560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37120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37120</w:t>
            </w:r>
            <w:r w:rsidR="00F427D2" w:rsidRPr="00644003">
              <w:rPr>
                <w:rFonts w:ascii="Times" w:hAnsi="Times"/>
              </w:rPr>
              <w:t xml:space="preserve"> </w:t>
            </w:r>
            <w:r w:rsidR="00F427D2" w:rsidRPr="00644003">
              <w:t>тридцать семь тысяч сто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