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лице </w:t>
      </w:r>
      <w:r w:rsidR="001B01D1" w:rsidRPr="001B01D1">
        <w:rPr>
          <w:sz w:val="16"/>
          <w:szCs w:val="16"/>
        </w:rPr>
        <w:t xml:space="preserve">в 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bookmarkStart w:id="0" w:name="_GoBack"/>
      <w:bookmarkEnd w:id="0"/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B51175" w:rsidRPr="00B51175">
        <w:rPr>
          <w:sz w:val="16"/>
          <w:szCs w:val="16"/>
        </w:rPr>
        <w:t>125284, Москва, Скаковая аллея, д.11</w:t>
      </w:r>
      <w:r w:rsidR="00B51175">
        <w:rPr>
          <w:sz w:val="16"/>
          <w:szCs w:val="16"/>
        </w:rPr>
        <w:t xml:space="preserve">.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</w:t>
      </w:r>
      <w:r w:rsidRPr="00942A5C">
        <w:rPr>
          <w:sz w:val="16"/>
          <w:szCs w:val="16"/>
        </w:rPr>
        <w:lastRenderedPageBreak/>
        <w:t xml:space="preserve">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 xml:space="preserve">». Местонахождение перевозчика: 125284, город Москва, Скаковая аллея, д. 11.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Договор обязательного страхования гражданской ответственности перевозчика за причинение вреда жизни, здоровью, имуществу пассажиров IGSX21728688440000 от 15.03.2017., заключен с СПАО «Ингосстрах» сроком действия с 01 апреля 2017 года по 31 марта 2018 года.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 xml:space="preserve">мация </w:t>
      </w:r>
      <w:r w:rsidR="000D38D3">
        <w:rPr>
          <w:sz w:val="16"/>
          <w:szCs w:val="16"/>
        </w:rPr>
        <w:lastRenderedPageBreak/>
        <w:t>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Москва, </w:t>
            </w:r>
            <w:proofErr w:type="spellStart"/>
            <w:proofErr w:type="gramStart"/>
            <w:r w:rsidR="00FD3861"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FD3861"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E6007">
        <w:fldChar w:fldCharType="begin"/>
      </w:r>
      <w:r w:rsidR="002E6007">
        <w:instrText xml:space="preserve"> HYPERLINK "http://www.vodohod.com/" </w:instrText>
      </w:r>
      <w:r w:rsidR="002E6007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E6007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Вид тура:  ________________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1A7303" w:rsidP="003837E7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 xml:space="preserve">RUB, в </w:t>
            </w:r>
            <w:proofErr w:type="spellStart"/>
            <w:r w:rsidRPr="001A7303">
              <w:rPr>
                <w:sz w:val="16"/>
                <w:szCs w:val="16"/>
              </w:rPr>
              <w:t>т.ч</w:t>
            </w:r>
            <w:proofErr w:type="spellEnd"/>
            <w:r w:rsidRPr="001A7303">
              <w:rPr>
                <w:sz w:val="16"/>
                <w:szCs w:val="16"/>
              </w:rPr>
              <w:t xml:space="preserve">. НДС (без НДС) 0-00 RUB(пп.18 п.3 </w:t>
            </w:r>
            <w:proofErr w:type="spellStart"/>
            <w:proofErr w:type="gramStart"/>
            <w:r w:rsidRPr="001A7303">
              <w:rPr>
                <w:sz w:val="16"/>
                <w:szCs w:val="16"/>
              </w:rPr>
              <w:t>ст</w:t>
            </w:r>
            <w:proofErr w:type="spellEnd"/>
            <w:proofErr w:type="gramEnd"/>
            <w:r w:rsidRPr="001A7303">
              <w:rPr>
                <w:sz w:val="16"/>
                <w:szCs w:val="16"/>
              </w:rPr>
              <w:t xml:space="preserve"> 149 НК РФ)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</w:t>
            </w:r>
            <w:proofErr w:type="gramStart"/>
            <w:r w:rsidRPr="001A7303">
              <w:rPr>
                <w:sz w:val="16"/>
                <w:szCs w:val="16"/>
              </w:rPr>
              <w:t xml:space="preserve">{SUM_ALL} ${SUM_ALL_PROPIS},  в том числе НДС: 00 (ноль рублей 00 копеек))  </w:t>
            </w:r>
            <w:proofErr w:type="gramEnd"/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080" w:rsidRDefault="00C12080">
      <w:r>
        <w:separator/>
      </w:r>
    </w:p>
  </w:endnote>
  <w:endnote w:type="continuationSeparator" w:id="0">
    <w:p w:rsidR="00C12080" w:rsidRDefault="00C1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C12080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7A7AB6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C12080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7A7AB6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080" w:rsidRDefault="00C12080">
      <w:r>
        <w:separator/>
      </w:r>
    </w:p>
  </w:footnote>
  <w:footnote w:type="continuationSeparator" w:id="0">
    <w:p w:rsidR="00C12080" w:rsidRDefault="00C12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91877"/>
    <w:rsid w:val="000A0CE6"/>
    <w:rsid w:val="000D38D3"/>
    <w:rsid w:val="000E1D28"/>
    <w:rsid w:val="00102E6E"/>
    <w:rsid w:val="0010724A"/>
    <w:rsid w:val="00112CC7"/>
    <w:rsid w:val="001966D7"/>
    <w:rsid w:val="001A7303"/>
    <w:rsid w:val="001B01D1"/>
    <w:rsid w:val="001B1E91"/>
    <w:rsid w:val="001F6F18"/>
    <w:rsid w:val="002256E5"/>
    <w:rsid w:val="002402BB"/>
    <w:rsid w:val="002E6007"/>
    <w:rsid w:val="002E696C"/>
    <w:rsid w:val="0033580A"/>
    <w:rsid w:val="00337F21"/>
    <w:rsid w:val="003837E7"/>
    <w:rsid w:val="003947E6"/>
    <w:rsid w:val="00397341"/>
    <w:rsid w:val="004B41BE"/>
    <w:rsid w:val="004B5DDC"/>
    <w:rsid w:val="0051697F"/>
    <w:rsid w:val="005305BB"/>
    <w:rsid w:val="005A6FA7"/>
    <w:rsid w:val="005E2BC4"/>
    <w:rsid w:val="006557F6"/>
    <w:rsid w:val="00664DE8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A41242"/>
    <w:rsid w:val="00A457D6"/>
    <w:rsid w:val="00A618D0"/>
    <w:rsid w:val="00A6256B"/>
    <w:rsid w:val="00A84AC8"/>
    <w:rsid w:val="00AF4078"/>
    <w:rsid w:val="00B0617D"/>
    <w:rsid w:val="00B51175"/>
    <w:rsid w:val="00B80EE4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7FCB"/>
    <w:rsid w:val="00DF7B9B"/>
    <w:rsid w:val="00E04B4A"/>
    <w:rsid w:val="00E12453"/>
    <w:rsid w:val="00E2519A"/>
    <w:rsid w:val="00E31052"/>
    <w:rsid w:val="00E47A3D"/>
    <w:rsid w:val="00E722BD"/>
    <w:rsid w:val="00E76FE8"/>
    <w:rsid w:val="00ED1F9B"/>
    <w:rsid w:val="00EE5790"/>
    <w:rsid w:val="00EF1150"/>
    <w:rsid w:val="00F062C5"/>
    <w:rsid w:val="00F4220A"/>
    <w:rsid w:val="00FB2245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7008</Words>
  <Characters>39951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46866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Дмитрий Генн. Кочетков</cp:lastModifiedBy>
  <cp:revision>5</cp:revision>
  <cp:lastPrinted>2017-11-10T14:46:00Z</cp:lastPrinted>
  <dcterms:created xsi:type="dcterms:W3CDTF">2017-11-29T12:03:00Z</dcterms:created>
  <dcterms:modified xsi:type="dcterms:W3CDTF">2018-01-09T15:30:00Z</dcterms:modified>
</cp:coreProperties>
</file>