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</w:t>
      </w:r>
      <w:r w:rsidR="005A3CFE">
        <w:rPr>
          <w:sz w:val="16"/>
          <w:szCs w:val="16"/>
        </w:rPr>
        <w:t>Санкт-Петербург</w:t>
      </w:r>
      <w:r w:rsidRPr="00942A5C">
        <w:rPr>
          <w:sz w:val="16"/>
          <w:szCs w:val="16"/>
        </w:rPr>
        <w:t xml:space="preserve">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5A3CFE" w:rsidP="00ED1F9B">
      <w:pPr>
        <w:widowControl/>
        <w:tabs>
          <w:tab w:val="left" w:pos="426"/>
        </w:tabs>
        <w:rPr>
          <w:sz w:val="16"/>
          <w:szCs w:val="16"/>
        </w:rPr>
      </w:pPr>
      <w:r>
        <w:rPr>
          <w:sz w:val="16"/>
          <w:szCs w:val="16"/>
        </w:rPr>
        <w:t>ООО «Речной Агент</w:t>
      </w:r>
      <w:r w:rsidR="00FD3861" w:rsidRPr="00942A5C">
        <w:rPr>
          <w:sz w:val="16"/>
          <w:szCs w:val="16"/>
        </w:rPr>
        <w:t>»</w:t>
      </w:r>
      <w:r w:rsidR="00D764C6">
        <w:rPr>
          <w:sz w:val="16"/>
          <w:szCs w:val="16"/>
        </w:rPr>
        <w:t xml:space="preserve">, </w:t>
      </w:r>
      <w:r w:rsidR="001B01D1" w:rsidRPr="001B01D1">
        <w:rPr>
          <w:sz w:val="16"/>
          <w:szCs w:val="16"/>
        </w:rPr>
        <w:t xml:space="preserve">в лице </w:t>
      </w:r>
      <w:r>
        <w:rPr>
          <w:sz w:val="16"/>
          <w:szCs w:val="16"/>
        </w:rPr>
        <w:t>генерального директора  Анисимовой Ирины Николаевны</w:t>
      </w:r>
      <w:r w:rsidR="001B01D1" w:rsidRPr="001B01D1">
        <w:rPr>
          <w:sz w:val="16"/>
          <w:szCs w:val="16"/>
        </w:rPr>
        <w:t xml:space="preserve">, действующего на основании </w:t>
      </w:r>
      <w:r>
        <w:rPr>
          <w:sz w:val="16"/>
          <w:szCs w:val="16"/>
        </w:rPr>
        <w:t>Устава</w:t>
      </w:r>
      <w:r w:rsidR="001B01D1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FD3861" w:rsidRPr="00942A5C">
        <w:rPr>
          <w:sz w:val="16"/>
          <w:szCs w:val="16"/>
        </w:rPr>
        <w:t>именуемое в дальнейшем «КОМПАНИЯ», и</w:t>
      </w:r>
      <w:r w:rsidR="001B01D1" w:rsidRPr="001B01D1">
        <w:rPr>
          <w:sz w:val="16"/>
          <w:szCs w:val="16"/>
        </w:rPr>
        <w:t>${FIO},</w:t>
      </w:r>
      <w:r w:rsidR="00FD3861"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 xml:space="preserve">.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</w:t>
      </w:r>
      <w:r w:rsidRPr="00942A5C">
        <w:rPr>
          <w:sz w:val="16"/>
          <w:szCs w:val="16"/>
        </w:rPr>
        <w:lastRenderedPageBreak/>
        <w:t xml:space="preserve">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</w:t>
      </w:r>
      <w:r w:rsidR="00194166" w:rsidRPr="00194166">
        <w:rPr>
          <w:bCs/>
          <w:sz w:val="16"/>
          <w:szCs w:val="16"/>
        </w:rPr>
        <w:t>Договор обязательного страхования гражданской ответственности перевозчика за причинение вреда жизни, здоровью, имуществу пассажиров IGSX21895699151000</w:t>
      </w:r>
      <w:bookmarkStart w:id="0" w:name="_GoBack"/>
      <w:bookmarkEnd w:id="0"/>
      <w:r w:rsidR="00194166" w:rsidRPr="00194166">
        <w:rPr>
          <w:bCs/>
          <w:sz w:val="16"/>
          <w:szCs w:val="16"/>
        </w:rPr>
        <w:t xml:space="preserve"> от 15.03.2018 г., заключен с СПАО «Ингосстрах» сроком действия с 01 апреля 2018 года по 31 марта 2019 года. </w:t>
      </w:r>
      <w:r w:rsidRPr="008E2872">
        <w:rPr>
          <w:sz w:val="16"/>
          <w:szCs w:val="16"/>
        </w:rPr>
        <w:t xml:space="preserve">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>. сокращение продолжительности тура, невозможности захода в обусловленные в программе маршрута пункты,</w:t>
      </w:r>
      <w:proofErr w:type="gramEnd"/>
      <w:r w:rsidRPr="00942A5C">
        <w:rPr>
          <w:sz w:val="16"/>
          <w:szCs w:val="16"/>
        </w:rPr>
        <w:t xml:space="preserve"> нарушению культурно-развлекательной и экскурсионной программы и т.д.) по настоящему договору, если оно явилось следствием: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</w:t>
            </w:r>
            <w:r w:rsidR="005A3CFE">
              <w:rPr>
                <w:sz w:val="16"/>
                <w:szCs w:val="16"/>
              </w:rPr>
              <w:t>й</w:t>
            </w:r>
            <w:r w:rsidRPr="00942A5C">
              <w:rPr>
                <w:sz w:val="16"/>
                <w:szCs w:val="16"/>
              </w:rPr>
              <w:t xml:space="preserve"> </w:t>
            </w:r>
            <w:r w:rsidR="005A3CFE">
              <w:rPr>
                <w:sz w:val="16"/>
                <w:szCs w:val="16"/>
              </w:rPr>
              <w:t>А</w:t>
            </w:r>
            <w:r w:rsidRPr="00942A5C">
              <w:rPr>
                <w:sz w:val="16"/>
                <w:szCs w:val="16"/>
              </w:rPr>
              <w:t xml:space="preserve">гент» </w:t>
            </w:r>
          </w:p>
          <w:p w:rsidR="000A0CE6" w:rsidRPr="005A3CFE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5A3CFE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5A3CFE">
              <w:rPr>
                <w:sz w:val="16"/>
                <w:szCs w:val="16"/>
                <w:u w:val="single"/>
              </w:rPr>
              <w:t>адрес:</w:t>
            </w:r>
            <w:r w:rsidR="005A3CFE" w:rsidRPr="005A3CFE">
              <w:rPr>
                <w:sz w:val="16"/>
                <w:szCs w:val="16"/>
              </w:rPr>
              <w:t xml:space="preserve"> 197022, г. Санкт-Петербург, Каменноостровский проспект, д. 40, </w:t>
            </w:r>
            <w:proofErr w:type="spellStart"/>
            <w:r w:rsidR="005A3CFE" w:rsidRPr="005A3CFE">
              <w:rPr>
                <w:sz w:val="16"/>
                <w:szCs w:val="16"/>
              </w:rPr>
              <w:t>лит</w:t>
            </w:r>
            <w:proofErr w:type="gramStart"/>
            <w:r w:rsidR="005A3CFE" w:rsidRPr="005A3CFE">
              <w:rPr>
                <w:sz w:val="16"/>
                <w:szCs w:val="16"/>
              </w:rPr>
              <w:t>.А</w:t>
            </w:r>
            <w:proofErr w:type="spellEnd"/>
            <w:proofErr w:type="gramEnd"/>
            <w:r w:rsidR="005A3CFE" w:rsidRPr="005A3CFE">
              <w:rPr>
                <w:sz w:val="16"/>
                <w:szCs w:val="16"/>
              </w:rPr>
              <w:t>, пом. 501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5A3CFE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5A3CFE">
              <w:rPr>
                <w:sz w:val="16"/>
                <w:szCs w:val="16"/>
                <w:u w:val="single"/>
              </w:rPr>
              <w:t>адрес:</w:t>
            </w:r>
            <w:r w:rsidR="00FD3861" w:rsidRPr="005A3CFE">
              <w:rPr>
                <w:sz w:val="16"/>
                <w:szCs w:val="16"/>
              </w:rPr>
              <w:t xml:space="preserve"> </w:t>
            </w:r>
            <w:r w:rsidR="005A3CFE" w:rsidRPr="005A3CFE">
              <w:rPr>
                <w:sz w:val="16"/>
                <w:szCs w:val="16"/>
              </w:rPr>
              <w:t xml:space="preserve">197022, г. Санкт-Петербург, Каменноостровский проспект, д. 40, </w:t>
            </w:r>
            <w:proofErr w:type="spellStart"/>
            <w:r w:rsidR="005A3CFE" w:rsidRPr="005A3CFE">
              <w:rPr>
                <w:sz w:val="16"/>
                <w:szCs w:val="16"/>
              </w:rPr>
              <w:t>лит</w:t>
            </w:r>
            <w:proofErr w:type="gramStart"/>
            <w:r w:rsidR="005A3CFE" w:rsidRPr="005A3CFE">
              <w:rPr>
                <w:sz w:val="16"/>
                <w:szCs w:val="16"/>
              </w:rPr>
              <w:t>.А</w:t>
            </w:r>
            <w:proofErr w:type="spellEnd"/>
            <w:proofErr w:type="gramEnd"/>
            <w:r w:rsidR="005A3CFE" w:rsidRPr="005A3CFE">
              <w:rPr>
                <w:sz w:val="16"/>
                <w:szCs w:val="16"/>
              </w:rPr>
              <w:t>, пом. 501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5A3CFE" w:rsidRPr="00942A5C" w:rsidRDefault="005A3CFE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 xml:space="preserve">/с </w:t>
            </w:r>
            <w:r w:rsidR="005A3CFE" w:rsidRPr="00361A9C">
              <w:rPr>
                <w:sz w:val="16"/>
                <w:szCs w:val="16"/>
              </w:rPr>
              <w:t>40702810255040011521</w:t>
            </w:r>
          </w:p>
          <w:p w:rsidR="005A3CFE" w:rsidRPr="00361A9C" w:rsidRDefault="005A3CFE" w:rsidP="005A3CFE">
            <w:pPr>
              <w:rPr>
                <w:sz w:val="16"/>
                <w:szCs w:val="16"/>
              </w:rPr>
            </w:pPr>
            <w:r w:rsidRPr="00361A9C">
              <w:rPr>
                <w:sz w:val="16"/>
                <w:szCs w:val="16"/>
              </w:rPr>
              <w:t>Банк СЕВЕРО-ЗАПАДНЫЙ БАНК ПАО СБЕРБАНК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к/с  </w:t>
            </w:r>
            <w:r w:rsidR="005A3CFE" w:rsidRPr="00361A9C">
              <w:rPr>
                <w:sz w:val="16"/>
                <w:szCs w:val="16"/>
              </w:rPr>
              <w:t>30101810500000000653</w:t>
            </w:r>
            <w:r w:rsidRPr="00942A5C">
              <w:rPr>
                <w:sz w:val="16"/>
                <w:szCs w:val="16"/>
              </w:rPr>
              <w:t xml:space="preserve">   БИК </w:t>
            </w:r>
            <w:r w:rsidR="005A3CFE" w:rsidRPr="00361A9C">
              <w:rPr>
                <w:sz w:val="16"/>
                <w:szCs w:val="16"/>
              </w:rPr>
              <w:t>044030653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ИНН  </w:t>
            </w:r>
            <w:r w:rsidR="005A3CFE" w:rsidRPr="00361A9C">
              <w:rPr>
                <w:sz w:val="16"/>
                <w:szCs w:val="16"/>
              </w:rPr>
              <w:t>7813293042</w:t>
            </w:r>
            <w:r w:rsidRPr="00942A5C">
              <w:rPr>
                <w:sz w:val="16"/>
                <w:szCs w:val="16"/>
              </w:rPr>
              <w:t xml:space="preserve">    КПП  </w:t>
            </w:r>
            <w:r w:rsidR="005A3CFE" w:rsidRPr="00361A9C">
              <w:rPr>
                <w:sz w:val="16"/>
                <w:szCs w:val="16"/>
              </w:rPr>
              <w:t>781301001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64F02">
        <w:fldChar w:fldCharType="begin"/>
      </w:r>
      <w:r w:rsidR="00264F02">
        <w:instrText xml:space="preserve"> HYPERLINK "http://www.vodohod.com/" </w:instrText>
      </w:r>
      <w:r w:rsidR="00264F02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64F02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FF6EE9">
              <w:rPr>
                <w:lang w:val="en-US"/>
              </w:rPr>
              <w:t>ITEM</w:t>
            </w:r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19416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proofErr w:type="gramStart"/>
            <w:r w:rsidRPr="00840251">
              <w:rPr>
                <w:sz w:val="16"/>
                <w:szCs w:val="16"/>
                <w:lang w:val="en-US"/>
              </w:rPr>
              <w:t>RUB,</w:t>
            </w:r>
            <w:proofErr w:type="gramEnd"/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7303">
              <w:rPr>
                <w:sz w:val="16"/>
                <w:szCs w:val="16"/>
              </w:rPr>
              <w:t>вт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proofErr w:type="gramStart"/>
            <w:r w:rsidRPr="001A7303">
              <w:rPr>
                <w:sz w:val="16"/>
                <w:szCs w:val="16"/>
              </w:rPr>
              <w:t>ст</w:t>
            </w:r>
            <w:proofErr w:type="spellEnd"/>
            <w:proofErr w:type="gram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19416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BA" w:rsidRDefault="008424BA">
      <w:r>
        <w:separator/>
      </w:r>
    </w:p>
  </w:endnote>
  <w:endnote w:type="continuationSeparator" w:id="0">
    <w:p w:rsidR="008424BA" w:rsidRDefault="0084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8424BA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5057B0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194166">
                  <w:rPr>
                    <w:rStyle w:val="a5"/>
                    <w:noProof/>
                  </w:rPr>
                  <w:t>3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8424BA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5057B0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194166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BA" w:rsidRDefault="008424BA">
      <w:r>
        <w:separator/>
      </w:r>
    </w:p>
  </w:footnote>
  <w:footnote w:type="continuationSeparator" w:id="0">
    <w:p w:rsidR="008424BA" w:rsidRDefault="00842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4166"/>
    <w:rsid w:val="001966D7"/>
    <w:rsid w:val="001A27D5"/>
    <w:rsid w:val="001A7303"/>
    <w:rsid w:val="001B01D1"/>
    <w:rsid w:val="001B1E91"/>
    <w:rsid w:val="001F6F18"/>
    <w:rsid w:val="002127DC"/>
    <w:rsid w:val="00213EF5"/>
    <w:rsid w:val="002256E5"/>
    <w:rsid w:val="002402BB"/>
    <w:rsid w:val="00264F02"/>
    <w:rsid w:val="002E6007"/>
    <w:rsid w:val="002E696C"/>
    <w:rsid w:val="0033580A"/>
    <w:rsid w:val="00337F21"/>
    <w:rsid w:val="00347429"/>
    <w:rsid w:val="003837E7"/>
    <w:rsid w:val="003947E6"/>
    <w:rsid w:val="00397341"/>
    <w:rsid w:val="004B41BE"/>
    <w:rsid w:val="004B5DDC"/>
    <w:rsid w:val="005057B0"/>
    <w:rsid w:val="0051697F"/>
    <w:rsid w:val="005305BB"/>
    <w:rsid w:val="005A3CFE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424BA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9D4009"/>
    <w:rsid w:val="00A15178"/>
    <w:rsid w:val="00A22772"/>
    <w:rsid w:val="00A41242"/>
    <w:rsid w:val="00A457D6"/>
    <w:rsid w:val="00A618D0"/>
    <w:rsid w:val="00A6256B"/>
    <w:rsid w:val="00A84AC8"/>
    <w:rsid w:val="00AF4078"/>
    <w:rsid w:val="00AF5DA9"/>
    <w:rsid w:val="00B020E2"/>
    <w:rsid w:val="00B0617D"/>
    <w:rsid w:val="00B51175"/>
    <w:rsid w:val="00B80EE4"/>
    <w:rsid w:val="00BB492F"/>
    <w:rsid w:val="00BC0918"/>
    <w:rsid w:val="00C12080"/>
    <w:rsid w:val="00C528E1"/>
    <w:rsid w:val="00C90213"/>
    <w:rsid w:val="00CB0AE6"/>
    <w:rsid w:val="00CF0CFE"/>
    <w:rsid w:val="00D51801"/>
    <w:rsid w:val="00D764C6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EE9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7011</Words>
  <Characters>39966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46884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Денис Якупов</cp:lastModifiedBy>
  <cp:revision>19</cp:revision>
  <cp:lastPrinted>2017-11-10T14:46:00Z</cp:lastPrinted>
  <dcterms:created xsi:type="dcterms:W3CDTF">2017-11-29T12:03:00Z</dcterms:created>
  <dcterms:modified xsi:type="dcterms:W3CDTF">2018-05-18T06:48:00Z</dcterms:modified>
</cp:coreProperties>
</file>