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792lhvas8ety" w:id="0"/>
      <w:bookmarkEnd w:id="0"/>
      <w:r w:rsidDel="00000000" w:rsidR="00000000" w:rsidRPr="00000000">
        <w:rPr>
          <w:rtl w:val="0"/>
        </w:rPr>
        <w:t xml:space="preserve">Raport Final: Analiza Datelor despre Vinuri</w:t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Hinev Dima, IASD2401, 15.12.2024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Acest raport rezumă analiza unui set de date despre vinuri, </w:t>
        <w:br w:type="textWrapping"/>
        <w:t xml:space="preserve">care conține informații despre prețuri, punctaje, descrieri textuale, țări de origine și categorii de vinuri. 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Scopul principal a fost identificarea tiparelor și relațiilor dintre variabilele cheie precum scorul (points), prețul (price), regiunile și categoriile de vinuri.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Tipare și Relații Identificate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 baza analizei realizate, au fost identificate următoarele relații interesante: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o corelație moderată pozitivă între preț (price) și punctajul (points), valoarea fiind 0.40.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există o corelație semnificativă între alcool (alcohol) și punctaj (points), valoarea fiind aproape 0 (0.01).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Regiunile și varietățile de struguri influențează semnificativ atât prețul cât și scorul mediu al vinurilor.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3. Influența Descrierii Vinului asupra Scorului și Prețului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Analiza textelor descriptive a arătat că anumite cuvinte cheie apar mai frecvent în vinurile scumpe sau bine cotate. </w:t>
        <w:br w:type="textWrapping"/>
        <w:t xml:space="preserve">De exemplu, cuvinte precum „fructe negre” și „plin de corp” sunt asociate cu scoruri înalte și prețuri mai mari.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4. Țările și Categoriile Cele Mai Scumpe și Bine Cotate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Țările care produc cele mai scumpe vinuri includ Franța, Italia și Statele Unite, conform prețurilor medii calculate. </w:t>
        <w:br w:type="textWrapping"/>
        <w:t xml:space="preserve">În ceea ce privește scorurile, categoriile de vinuri roșii și albe domină clasamentele.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5. Concluzie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Analiza a evidențiat relațiile dintre preț, punctaj și factori descriptivi ai vinurilor. </w:t>
        <w:br w:type="textWrapping"/>
        <w:t xml:space="preserve">Regiunile și varietățile de struguri joacă un rol esențial în determinarea prețului și calității unui vin. </w:t>
        <w:br w:type="textWrapping"/>
        <w:t xml:space="preserve">De asemenea, descrierile textuale pot fi utilizate pentru a anticipa performanța unui vin în funcție de scor și preț.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