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3864"/>
          <w:sz w:val="44"/>
        </w:rPr>
        <w:t>Kebijakan &amp; Panduan Implementasi: Bug Bounty Program</w:t>
      </w:r>
    </w:p>
    <w:p>
      <w:pPr>
        <w:spacing w:before="0" w:after="280"/>
      </w:pPr>
      <w:r>
        <w:rPr>
          <w:rFonts w:ascii="Calibri" w:hAnsi="Calibri"/>
          <w:b w:val="0"/>
          <w:color w:val="2E5597"/>
          <w:sz w:val="24"/>
        </w:rPr>
        <w:t>AuditSphere® — Program Pengungkapan Kerentanan &amp; Penghargaan Keamanan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Nomor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BBP-001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Judul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Kebijakan &amp; Panduan Implementasi: Bug Bounty Program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Versi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Tanggal Berlaku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Pemilik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Penulis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 &amp; SecOps Team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Approver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Direktur Utama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Klasifikasi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Public / Internal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Kontrol ISO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ISO/IEC 27001:2022 A.5.5, A.8.8, A.5.7, ISO/IEC 29147 (Vulnerability Disclosure)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Review Berikutnya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2027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Riwayat Revisi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</w:t>
            </w:r>
          </w:p>
        </w:tc>
        <w:tc>
          <w:tcPr>
            <w:tcW w:type="dxa" w:w="17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23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Penulis</w:t>
            </w:r>
          </w:p>
        </w:tc>
        <w:tc>
          <w:tcPr>
            <w:tcW w:type="dxa" w:w="41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Perubahan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1.0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</w:t>
            </w:r>
          </w:p>
        </w:tc>
        <w:tc>
          <w:tcPr>
            <w:tcW w:type="dxa" w:w="4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Rilis awal kebijakan dan panduan operasional Bug Bounty Program AuditSphere®.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1. Tujuan &amp; Ruang Lingkup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Menetapkan program Bug Bounty resmi untuk mendorong peneliti keamanan independen melaporkan potensi kerentanan keamanan pada produk dan infrastruktur PT Bina Audita Indonesia secara bertanggung jawab.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2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Kategori</w:t>
            </w:r>
          </w:p>
        </w:tc>
        <w:tc>
          <w:tcPr>
            <w:tcW w:type="dxa" w:w="46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Aset &amp; Komponen Terkait</w:t>
            </w:r>
          </w:p>
        </w:tc>
        <w:tc>
          <w:tcPr>
            <w:tcW w:type="dxa" w:w="2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Ketentuan Pengujian</w:t>
            </w:r>
          </w:p>
        </w:tc>
      </w:tr>
      <w:tr>
        <w:trPr>
          <w:cantSplit/>
        </w:trPr>
        <w:tc>
          <w:tcPr>
            <w:tcW w:type="dxa" w:w="2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In-Scope</w:t>
            </w:r>
          </w:p>
        </w:tc>
        <w:tc>
          <w:tcPr>
            <w:tcW w:type="dxa" w:w="4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*.auditsphere.id, auditsphere.app, api.auditsphere.id, Mobile App (iOS &amp; Android)</w:t>
            </w:r>
          </w:p>
        </w:tc>
        <w:tc>
          <w:tcPr>
            <w:tcW w:type="dxa" w:w="2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Berhak mendapatkan reward sesuai CVSS</w:t>
            </w:r>
          </w:p>
        </w:tc>
      </w:tr>
      <w:tr>
        <w:trPr>
          <w:cantSplit/>
        </w:trPr>
        <w:tc>
          <w:tcPr>
            <w:tcW w:type="dxa" w:w="20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Out-of-Scope</w:t>
            </w:r>
          </w:p>
        </w:tc>
        <w:tc>
          <w:tcPr>
            <w:tcW w:type="dxa" w:w="4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Sistem pihak ketiga, fasilitas fisik, serangan DoS/DDoS, rekayasa sosial (phishing), spam</w:t>
            </w:r>
          </w:p>
        </w:tc>
        <w:tc>
          <w:tcPr>
            <w:tcW w:type="dxa" w:w="24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DILARANG KERAS / Diskualifikasi otomatis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2. Platform Pengelolaan &amp; Matriks Alokasi Reward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Opsi Platform</w:t>
            </w:r>
          </w:p>
        </w:tc>
        <w:tc>
          <w:tcPr>
            <w:tcW w:type="dxa" w:w="62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Karakteristik &amp; Mekanisme Pengelolaan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HackerOne / Bugcrowd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Platform bug bounty global pihak ketiga dengan komunitas peneliti internasional terverifikasi.</w:t>
            </w:r>
          </w:p>
        </w:tc>
      </w:tr>
      <w:tr>
        <w:trPr>
          <w:cantSplit/>
        </w:trPr>
        <w:tc>
          <w:tcPr>
            <w:tcW w:type="dxa" w:w="2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Portal Mandiri (Self-Hosted)</w:t>
            </w:r>
          </w:p>
        </w:tc>
        <w:tc>
          <w:tcPr>
            <w:tcW w:type="dxa" w:w="6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Formulir pelaporan aman pada security.auditsphere.id dengan enkripsi PGP.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Tingkat Severity</w:t>
            </w:r>
          </w:p>
        </w:tc>
        <w:tc>
          <w:tcPr>
            <w:tcW w:type="dxa" w:w="1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Skor CVSS v3.1</w:t>
            </w:r>
          </w:p>
        </w:tc>
        <w:tc>
          <w:tcPr>
            <w:tcW w:type="dxa" w:w="27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Alokasi Hadiah Finansial</w:t>
            </w:r>
          </w:p>
        </w:tc>
        <w:tc>
          <w:tcPr>
            <w:tcW w:type="dxa" w:w="3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Contoh Temuan Kerentanan</w:t>
            </w:r>
          </w:p>
        </w:tc>
      </w:tr>
      <w:tr>
        <w:trPr>
          <w:cantSplit/>
        </w:trPr>
        <w:tc>
          <w:tcPr>
            <w:tcW w:type="dxa" w:w="1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Critical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9.0 – 10.0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Rp 10.000.000 – Rp 50.000.000</w:t>
            </w:r>
          </w:p>
        </w:tc>
        <w:tc>
          <w:tcPr>
            <w:tcW w:type="dxa" w:w="3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RCE, SQL Injection dengan eksfiltrasi data, Auth Bypass, Mass Account Takeover.</w:t>
            </w:r>
          </w:p>
        </w:tc>
      </w:tr>
      <w:tr>
        <w:trPr>
          <w:cantSplit/>
        </w:trPr>
        <w:tc>
          <w:tcPr>
            <w:tcW w:type="dxa" w:w="1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High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7.0 – 8.9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Rp 5.000.000 – Rp 10.000.000</w:t>
            </w:r>
          </w:p>
        </w:tc>
        <w:tc>
          <w:tcPr>
            <w:tcW w:type="dxa" w:w="3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Stored XSS, BOLA/IDOR berdampak finansial/data sensitif, SSRF internal network.</w:t>
            </w:r>
          </w:p>
        </w:tc>
      </w:tr>
      <w:tr>
        <w:trPr>
          <w:cantSplit/>
        </w:trPr>
        <w:tc>
          <w:tcPr>
            <w:tcW w:type="dxa" w:w="1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Medium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4.0 – 6.9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Rp 1.000.000 – Rp 5.000.000</w:t>
            </w:r>
          </w:p>
        </w:tc>
        <w:tc>
          <w:tcPr>
            <w:tcW w:type="dxa" w:w="3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Reflected XSS, CSRF aksi non-kritis, kebocoran informasi teknis internal.</w:t>
            </w:r>
          </w:p>
        </w:tc>
      </w:tr>
      <w:tr>
        <w:trPr>
          <w:cantSplit/>
        </w:trPr>
        <w:tc>
          <w:tcPr>
            <w:tcW w:type="dxa" w:w="1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Low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0.1 – 3.9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Rp 500.000 – Rp 1.000.000</w:t>
            </w:r>
          </w:p>
        </w:tc>
        <w:tc>
          <w:tcPr>
            <w:tcW w:type="dxa" w:w="3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Missing security headers, verbose error message, cookie flags tanpa secure.</w:t>
            </w:r>
          </w:p>
        </w:tc>
      </w:tr>
    </w:tbl>
    <w:p>
      <w:pPr>
        <w:spacing w:before="0" w:after="80"/>
      </w:pP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Insentif Tambahan: Laporan pertama untuk kerentanan unik (+20%), Laporan berkualitas tinggi dengan PoC detail (+10%), Eksploitasi berantai / exploit chain (+30%).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3. Aturan Peneliti &amp; Klausul Safe Harbor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Peneliti wajib bertindak dengan itikad baik, tidak merusak data produksi, tidak mengakses data milik pengguna lain, dan memberikan waktu 90 hari bagi tim AuditSphere® untuk melakukan perbaikan sebelum memublikasikan temuan.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Klausul Safe Harbor: PT Bina Audita Indonesia menjamin tidak akan menempuh jalur hukum perdata maupun pidana terhadap peneliti yang mematuhi aturan program dan tidak melanggar hukum yang berlaku.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4. Alur Kerja Triage &amp; Service Level Agreement (SLA)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Tingkat Severity</w:t>
            </w:r>
          </w:p>
        </w:tc>
        <w:tc>
          <w:tcPr>
            <w:tcW w:type="dxa" w:w="23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SLA Acknowledgment</w:t>
            </w:r>
          </w:p>
        </w:tc>
        <w:tc>
          <w:tcPr>
            <w:tcW w:type="dxa" w:w="23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SLA Triage &amp; Validasi</w:t>
            </w:r>
          </w:p>
        </w:tc>
        <w:tc>
          <w:tcPr>
            <w:tcW w:type="dxa" w:w="25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SLA Remediasi &amp; Deployment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Critical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24 Jam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3 Hari Kerja</w:t>
            </w:r>
          </w:p>
        </w:tc>
        <w:tc>
          <w:tcPr>
            <w:tcW w:type="dxa" w:w="2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7 Hari Kalender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High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3 Hari Kerja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7 Hari Kerja</w:t>
            </w:r>
          </w:p>
        </w:tc>
        <w:tc>
          <w:tcPr>
            <w:tcW w:type="dxa" w:w="2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14 Hari Kalender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Medium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5 Hari Kerja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14 Hari Kerja</w:t>
            </w:r>
          </w:p>
        </w:tc>
        <w:tc>
          <w:tcPr>
            <w:tcW w:type="dxa" w:w="2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30 Hari Kalender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Low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7 Hari Kerja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30 Hari Kerja</w:t>
            </w:r>
          </w:p>
        </w:tc>
        <w:tc>
          <w:tcPr>
            <w:tcW w:type="dxa" w:w="25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90 Hari Kalender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5. Metrik Kinerja (KPI) &amp;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Indikator Kinerja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 Sasaran</w:t>
            </w:r>
          </w:p>
        </w:tc>
        <w:tc>
          <w:tcPr>
            <w:tcW w:type="dxa" w:w="37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Keterangan Evaluasi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Laporan Valid per Tahun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≥ 5 Laporan Valid</w:t>
            </w:r>
          </w:p>
        </w:tc>
        <w:tc>
          <w:tcPr>
            <w:tcW w:type="dxa" w:w="3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Peningkatan partisipasi peneliti berkualitas.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Waktu Triage Laporan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3 Hari Kerja</w:t>
            </w:r>
          </w:p>
        </w:tc>
        <w:tc>
          <w:tcPr>
            <w:tcW w:type="dxa" w:w="3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Kecepatan validasi awal oleh tim security.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Kepuasan Peneliti Keamanan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≥ 4.0 / 5.0</w:t>
            </w:r>
          </w:p>
        </w:tc>
        <w:tc>
          <w:tcPr>
            <w:tcW w:type="dxa" w:w="3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Survei transparansi dan keadilan proses triage.</w:t>
            </w:r>
          </w:p>
        </w:tc>
      </w:tr>
      <w:tr>
        <w:trPr>
          <w:cantSplit/>
        </w:trPr>
        <w:tc>
          <w:tcPr>
            <w:tcW w:type="dxa" w:w="3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Waktu Pembayaran Reward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≤ 7 Hari Pasca Validasi</w:t>
            </w:r>
          </w:p>
        </w:tc>
        <w:tc>
          <w:tcPr>
            <w:tcW w:type="dxa" w:w="3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Kepatuhan pencairan hadiah tepat waktu.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Jabatan Pengesah</w:t>
            </w:r>
          </w:p>
        </w:tc>
        <w:tc>
          <w:tcPr>
            <w:tcW w:type="dxa" w:w="26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Nama Pejabat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Tanda Tangan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Tanggal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Direktur Utama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Direktur Utama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Security Officer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Legal Manager</w:t>
            </w:r>
          </w:p>
        </w:tc>
        <w:tc>
          <w:tcPr>
            <w:tcW w:type="dxa" w:w="26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Legal Manager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pgSz w:w="11906" w:h="16838"/>
      <w:pgMar w:top="1300" w:right="1440" w:bottom="13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BBP-001 · Bug Bounty Program · v1.0 · Public/Internal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