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4"/>
        </w:rPr>
        <w:t>Cloud Shared Responsibility Matrix</w:t>
      </w:r>
    </w:p>
    <w:p>
      <w:pPr>
        <w:spacing w:before="0" w:after="280"/>
      </w:pPr>
      <w:r>
        <w:rPr>
          <w:rFonts w:ascii="Calibri" w:hAnsi="Calibri"/>
          <w:b w:val="0"/>
          <w:color w:val="2E5597"/>
          <w:sz w:val="24"/>
        </w:rPr>
        <w:t>AuditSphere® — Pembagian Batas Tanggung Jawab Keamanan Penyedia Cloud (CSP) dan Pelanggan Multi-Cloud</w:t>
      </w:r>
    </w:p>
    <w:p>
      <w:pPr>
        <w:keepNext/>
        <w:spacing w:before="200" w:after="60"/>
      </w:pPr>
      <w:r>
        <w:rPr>
          <w:rFonts w:ascii="Calibri" w:hAnsi="Calibri"/>
          <w:b/>
          <w:color w:val="2E5597"/>
          <w:sz w:val="22"/>
        </w:rPr>
        <w:t>Document Control</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Field</w:t>
            </w:r>
          </w:p>
        </w:tc>
        <w:tc>
          <w:tcPr>
            <w:tcW w:type="dxa" w:w="6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Nilai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Nomor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CSRM-001</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Judul</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Cloud Shared Responsibility Matrix and Operational Governance Framework</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Versi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Tanggal Berlaku</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Pemilik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DevOps Lead</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Penulis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DevOps Lead</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Penyetujui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 / Top Management</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Klasifikasi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Internal Rahasia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Kontrol ISO Terkait</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ISO/IEC 27001:2022 (A.5.23, A.8.20–A.8.24), ISO/IEC 27017, CSA CCM v4.0, UU PDP No. 27/2022</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Review Berikutnya</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2027 (Minimal 1 tahun sekali)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Target Lingkungan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Seluruh Layanan Multi-Cloud (AWS, GCP, Azure, IaaS/PaaS/SaaS) &amp; Sistem AuditSphere®</w:t>
            </w:r>
          </w:p>
        </w:tc>
      </w:tr>
    </w:tbl>
    <w:p>
      <w:pPr>
        <w:spacing w:before="0" w:after="80"/>
      </w:pPr>
    </w:p>
    <w:p>
      <w:pPr>
        <w:keepNext/>
        <w:spacing w:before="200" w:after="60"/>
      </w:pPr>
      <w:r>
        <w:rPr>
          <w:rFonts w:ascii="Calibri" w:hAnsi="Calibri"/>
          <w:b/>
          <w:color w:val="2E5597"/>
          <w:sz w:val="22"/>
        </w:rPr>
        <w:t>Riwayat Revisi</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Versi</w:t>
            </w:r>
          </w:p>
        </w:tc>
        <w:tc>
          <w:tcPr>
            <w:tcW w:type="dxa" w:w="1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w:t>
            </w:r>
          </w:p>
        </w:tc>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Penulis</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Approver</w:t>
            </w:r>
          </w:p>
        </w:tc>
        <w:tc>
          <w:tcPr>
            <w:tcW w:type="dxa" w:w="27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Perubahan</w:t>
            </w:r>
          </w:p>
        </w:tc>
      </w:tr>
      <w:tr>
        <w:trPr>
          <w:cantSplit/>
        </w:trPr>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1.0</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DevOps Lead</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w:t>
            </w:r>
          </w:p>
        </w:tc>
        <w:tc>
          <w:tcPr>
            <w:tcW w:type="dxa" w:w="2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Penyusunan matriks batas tanggung jawab komprehensif IaaS, PaaS, SaaS, AWS, GCP, Azure, dan analisis studi kasus kegagalan.</w:t>
            </w:r>
          </w:p>
        </w:tc>
      </w:tr>
    </w:tbl>
    <w:p>
      <w:pPr>
        <w:spacing w:before="0" w:after="80"/>
      </w:pPr>
    </w:p>
    <w:p>
      <w:pPr>
        <w:spacing w:before="160" w:after="40"/>
      </w:pPr>
      <w:r>
        <w:rPr>
          <w:rFonts w:ascii="Calibri" w:hAnsi="Calibri"/>
          <w:b/>
          <w:color w:val="1F3864"/>
          <w:sz w:val="26"/>
        </w:rPr>
        <w:t>Daftar Isi</w:t>
      </w:r>
    </w:p>
    <w:p>
      <w:pPr>
        <w:spacing w:before="0" w:after="20"/>
      </w:pPr>
      <w:r>
        <w:rPr>
          <w:rFonts w:ascii="Calibri" w:hAnsi="Calibri"/>
          <w:b/>
          <w:color w:val="1F3864"/>
          <w:sz w:val="19"/>
        </w:rPr>
        <w:t>1. Tujuan</w:t>
      </w:r>
    </w:p>
    <w:p>
      <w:pPr>
        <w:spacing w:before="0" w:after="20"/>
      </w:pPr>
      <w:r>
        <w:rPr>
          <w:rFonts w:ascii="Calibri" w:hAnsi="Calibri"/>
          <w:b/>
          <w:color w:val="1F3864"/>
          <w:sz w:val="19"/>
        </w:rPr>
        <w:t>2. Ruang Lingkup</w:t>
      </w:r>
    </w:p>
    <w:p>
      <w:pPr>
        <w:spacing w:before="0" w:after="20"/>
      </w:pPr>
      <w:r>
        <w:rPr>
          <w:rFonts w:ascii="Calibri" w:hAnsi="Calibri"/>
          <w:b/>
          <w:color w:val="1F3864"/>
          <w:sz w:val="19"/>
        </w:rPr>
        <w:t>3. Referensi Standar &amp; Regulasi</w:t>
      </w:r>
    </w:p>
    <w:p>
      <w:pPr>
        <w:spacing w:before="0" w:after="20"/>
      </w:pPr>
      <w:r>
        <w:rPr>
          <w:rFonts w:ascii="Calibri" w:hAnsi="Calibri"/>
          <w:b/>
          <w:color w:val="1F3864"/>
          <w:sz w:val="19"/>
        </w:rPr>
        <w:t>4. Konsep Fundamental Shared Responsibility Model</w:t>
      </w:r>
    </w:p>
    <w:p>
      <w:pPr>
        <w:spacing w:before="0" w:after="20"/>
      </w:pPr>
      <w:r>
        <w:rPr>
          <w:rFonts w:ascii="Calibri" w:hAnsi="Calibri"/>
          <w:b/>
          <w:color w:val="1F3864"/>
          <w:sz w:val="19"/>
        </w:rPr>
        <w:t>5. Matriks Tanggung Jawab Berdasarkan Model Layanan Cloud</w:t>
      </w:r>
    </w:p>
    <w:p>
      <w:pPr>
        <w:spacing w:before="0" w:after="20"/>
      </w:pPr>
      <w:r>
        <w:rPr>
          <w:rFonts w:ascii="Calibri" w:hAnsi="Calibri"/>
          <w:sz w:val="19"/>
        </w:rPr>
        <w:t xml:space="preserve">    5.1 Infrastructure as a Service (IaaS) Responsibility Matrix</w:t>
      </w:r>
    </w:p>
    <w:p>
      <w:pPr>
        <w:spacing w:before="0" w:after="20"/>
      </w:pPr>
      <w:r>
        <w:rPr>
          <w:rFonts w:ascii="Calibri" w:hAnsi="Calibri"/>
          <w:sz w:val="19"/>
        </w:rPr>
        <w:t xml:space="preserve">    5.2 Platform as a Service (PaaS) Responsibility Matrix</w:t>
      </w:r>
    </w:p>
    <w:p>
      <w:pPr>
        <w:spacing w:before="0" w:after="20"/>
      </w:pPr>
      <w:r>
        <w:rPr>
          <w:rFonts w:ascii="Calibri" w:hAnsi="Calibri"/>
          <w:sz w:val="19"/>
        </w:rPr>
        <w:t xml:space="preserve">    5.3 Software as a Service (SaaS) Responsibility Matrix</w:t>
      </w:r>
    </w:p>
    <w:p>
      <w:pPr>
        <w:spacing w:before="0" w:after="20"/>
      </w:pPr>
      <w:r>
        <w:rPr>
          <w:rFonts w:ascii="Calibri" w:hAnsi="Calibri"/>
          <w:b/>
          <w:color w:val="1F3864"/>
          <w:sz w:val="19"/>
        </w:rPr>
        <w:t>6. Matriks Tanggung Jawab Spesifik Penyedia Hyperscaler</w:t>
      </w:r>
    </w:p>
    <w:p>
      <w:pPr>
        <w:spacing w:before="0" w:after="20"/>
      </w:pPr>
      <w:r>
        <w:rPr>
          <w:rFonts w:ascii="Calibri" w:hAnsi="Calibri"/>
          <w:sz w:val="19"/>
        </w:rPr>
        <w:t xml:space="preserve">    6.1 Layanan Amazon Web Services (AWS)</w:t>
      </w:r>
    </w:p>
    <w:p>
      <w:pPr>
        <w:spacing w:before="0" w:after="20"/>
      </w:pPr>
      <w:r>
        <w:rPr>
          <w:rFonts w:ascii="Calibri" w:hAnsi="Calibri"/>
          <w:sz w:val="19"/>
        </w:rPr>
        <w:t xml:space="preserve">    6.2 Layanan Google Cloud Platform (GCP)</w:t>
      </w:r>
    </w:p>
    <w:p>
      <w:pPr>
        <w:spacing w:before="0" w:after="20"/>
      </w:pPr>
      <w:r>
        <w:rPr>
          <w:rFonts w:ascii="Calibri" w:hAnsi="Calibri"/>
          <w:sz w:val="19"/>
        </w:rPr>
        <w:t xml:space="preserve">    6.3 Layanan Microsoft Azure</w:t>
      </w:r>
    </w:p>
    <w:p>
      <w:pPr>
        <w:spacing w:before="0" w:after="20"/>
      </w:pPr>
      <w:r>
        <w:rPr>
          <w:rFonts w:ascii="Calibri" w:hAnsi="Calibri"/>
          <w:b/>
          <w:color w:val="1F3864"/>
          <w:sz w:val="19"/>
        </w:rPr>
        <w:t>7. Kewajiban &amp; Tanggung Jawab Mutlak PT Bina Audita Indonesia</w:t>
      </w:r>
    </w:p>
    <w:p>
      <w:pPr>
        <w:spacing w:before="0" w:after="20"/>
      </w:pPr>
      <w:r>
        <w:rPr>
          <w:rFonts w:ascii="Calibri" w:hAnsi="Calibri"/>
          <w:b/>
          <w:color w:val="1F3864"/>
          <w:sz w:val="19"/>
        </w:rPr>
        <w:t>8. Kewajiban &amp; Tanggung Jawab Cloud Service Provider (CSP)</w:t>
      </w:r>
    </w:p>
    <w:p>
      <w:pPr>
        <w:spacing w:before="0" w:after="20"/>
      </w:pPr>
      <w:r>
        <w:rPr>
          <w:rFonts w:ascii="Calibri" w:hAnsi="Calibri"/>
          <w:b/>
          <w:color w:val="1F3864"/>
          <w:sz w:val="19"/>
        </w:rPr>
        <w:t>9. Studi Kasus Insiden Nyata &amp; Analisis Pembagian Tanggung Jawab</w:t>
      </w:r>
    </w:p>
    <w:p>
      <w:pPr>
        <w:spacing w:before="0" w:after="20"/>
      </w:pPr>
      <w:r>
        <w:rPr>
          <w:rFonts w:ascii="Calibri" w:hAnsi="Calibri"/>
          <w:sz w:val="19"/>
        </w:rPr>
        <w:t xml:space="preserve">    9.1 Studi Kasus 1: Insiden Kebocoran Data S3 Bucket Terbuka Publik</w:t>
      </w:r>
    </w:p>
    <w:p>
      <w:pPr>
        <w:spacing w:before="0" w:after="20"/>
      </w:pPr>
      <w:r>
        <w:rPr>
          <w:rFonts w:ascii="Calibri" w:hAnsi="Calibri"/>
          <w:sz w:val="19"/>
        </w:rPr>
        <w:t xml:space="preserve">    9.2 Studi Kasus 2: Kompromi Server EC2 Akibat Ketiadaan Patch OS</w:t>
      </w:r>
    </w:p>
    <w:p>
      <w:pPr>
        <w:spacing w:before="0" w:after="20"/>
      </w:pPr>
      <w:r>
        <w:rPr>
          <w:rFonts w:ascii="Calibri" w:hAnsi="Calibri"/>
          <w:sz w:val="19"/>
        </w:rPr>
        <w:t xml:space="preserve">    9.3 Studi Kasus 3: Kegagalan Outage Regional CSP &amp; Kesiapan Disaster Recovery</w:t>
      </w:r>
    </w:p>
    <w:p>
      <w:pPr>
        <w:spacing w:before="0" w:after="20"/>
      </w:pPr>
      <w:r>
        <w:rPr>
          <w:rFonts w:ascii="Calibri" w:hAnsi="Calibri"/>
          <w:b/>
          <w:color w:val="1F3864"/>
          <w:sz w:val="19"/>
        </w:rPr>
        <w:t>10. Checklist Kepatuhan Operasional Tim Internal (12 Kontrol Inti)</w:t>
      </w:r>
    </w:p>
    <w:p>
      <w:pPr>
        <w:spacing w:before="0" w:after="20"/>
      </w:pPr>
      <w:r>
        <w:rPr>
          <w:rFonts w:ascii="Calibri" w:hAnsi="Calibri"/>
          <w:b/>
          <w:color w:val="1F3864"/>
          <w:sz w:val="19"/>
        </w:rPr>
        <w:t>11. Lembar Pengesahan &amp; Tanda Tangan Resmi</w:t>
      </w:r>
    </w:p>
    <w:p>
      <w:pPr>
        <w:spacing w:before="0" w:after="20"/>
      </w:pPr>
      <w:r>
        <w:rPr>
          <w:rFonts w:ascii="Calibri" w:hAnsi="Calibri"/>
          <w:b/>
          <w:color w:val="1F3864"/>
          <w:sz w:val="19"/>
        </w:rPr>
        <w:t>12. Checklist Persiapan Penetration Testing (Pre-Pentest) auditsphere.app</w:t>
      </w:r>
    </w:p>
    <w:p>
      <w:pPr>
        <w:keepNext/>
        <w:spacing w:before="280" w:after="80"/>
      </w:pPr>
      <w:r>
        <w:rPr>
          <w:rFonts w:ascii="Calibri" w:hAnsi="Calibri"/>
          <w:b/>
          <w:color w:val="1F3864"/>
          <w:sz w:val="26"/>
        </w:rPr>
        <w:t>1. Tujuan</w:t>
      </w:r>
    </w:p>
    <w:p>
      <w:pPr>
        <w:spacing w:before="0" w:after="60" w:line="276" w:lineRule="auto"/>
      </w:pPr>
      <w:r>
        <w:rPr>
          <w:rFonts w:ascii="Calibri" w:hAnsi="Calibri"/>
          <w:i w:val="0"/>
          <w:sz w:val="19"/>
        </w:rPr>
        <w:t>Dokumen ini menetapkan batasan tanggung jawab operasional dan arsitektural secara tegas antara Cloud Service Provider (CSP) dan PT Bina Audita Indonesia untuk setiap aspek keamanan dan tata kelola teknologi komputasi awan.</w:t>
      </w:r>
    </w:p>
    <w:p>
      <w:pPr>
        <w:spacing w:before="0" w:after="60" w:line="276" w:lineRule="auto"/>
      </w:pPr>
      <w:r>
        <w:rPr>
          <w:rFonts w:ascii="Calibri" w:hAnsi="Calibri"/>
          <w:i w:val="0"/>
          <w:sz w:val="19"/>
        </w:rPr>
        <w:t>Tujuan utama penetapan matriks tanggung jawab ini adalah:</w:t>
      </w:r>
    </w:p>
    <w:p>
      <w:pPr>
        <w:pStyle w:val="ListBullet"/>
        <w:spacing w:before="0" w:after="40" w:line="276" w:lineRule="auto"/>
      </w:pPr>
      <w:r>
        <w:rPr>
          <w:rFonts w:ascii="Calibri" w:hAnsi="Calibri"/>
          <w:b/>
          <w:sz w:val="19"/>
        </w:rPr>
        <w:t xml:space="preserve">1. Mengeliminasi Asumsi Keliru: </w:t>
      </w:r>
      <w:r>
        <w:rPr>
          <w:rFonts w:ascii="Calibri" w:hAnsi="Calibri"/>
          <w:sz w:val="19"/>
        </w:rPr>
        <w:t>Mencegah kesalahpahaman asumsi keamanan bahwa seluruh proteksi otomatis ditangani oleh CSP.</w:t>
      </w:r>
    </w:p>
    <w:p>
      <w:pPr>
        <w:pStyle w:val="ListBullet"/>
        <w:spacing w:before="0" w:after="40" w:line="276" w:lineRule="auto"/>
      </w:pPr>
      <w:r>
        <w:rPr>
          <w:rFonts w:ascii="Calibri" w:hAnsi="Calibri"/>
          <w:b/>
          <w:sz w:val="19"/>
        </w:rPr>
        <w:t xml:space="preserve">2. Penegasan Kepemilikan Data: </w:t>
      </w:r>
      <w:r>
        <w:rPr>
          <w:rFonts w:ascii="Calibri" w:hAnsi="Calibri"/>
          <w:sz w:val="19"/>
        </w:rPr>
        <w:t>Menegaskan bahwa data, konfigurasi akses, dan aplikasi sepenuhnya merupakan tanggung jawab pelanggan.</w:t>
      </w:r>
    </w:p>
    <w:p>
      <w:pPr>
        <w:pStyle w:val="ListBullet"/>
        <w:spacing w:before="0" w:after="40" w:line="276" w:lineRule="auto"/>
      </w:pPr>
      <w:r>
        <w:rPr>
          <w:rFonts w:ascii="Calibri" w:hAnsi="Calibri"/>
          <w:b/>
          <w:sz w:val="19"/>
        </w:rPr>
        <w:t xml:space="preserve">3. Kepatuhan Audit: </w:t>
      </w:r>
      <w:r>
        <w:rPr>
          <w:rFonts w:ascii="Calibri" w:hAnsi="Calibri"/>
          <w:sz w:val="19"/>
        </w:rPr>
        <w:t>Memenuhi kontrol ISO/IEC 27001:2022 (A.5.23) serta ISO/IEC 27017 terkait kejelasan tanggung jawab cloud.</w:t>
      </w:r>
    </w:p>
    <w:p>
      <w:pPr>
        <w:pStyle w:val="ListBullet"/>
        <w:spacing w:before="0" w:after="40" w:line="276" w:lineRule="auto"/>
      </w:pPr>
      <w:r>
        <w:rPr>
          <w:rFonts w:ascii="Calibri" w:hAnsi="Calibri"/>
          <w:b/>
          <w:sz w:val="19"/>
        </w:rPr>
        <w:t xml:space="preserve">4. Panduan Operasional: </w:t>
      </w:r>
      <w:r>
        <w:rPr>
          <w:rFonts w:ascii="Calibri" w:hAnsi="Calibri"/>
          <w:sz w:val="19"/>
        </w:rPr>
        <w:t>Menjadi panduan operasional harian bagi tim DevOps, Security, dan pengembang perangkat lunak.</w:t>
      </w:r>
    </w:p>
    <w:p>
      <w:pPr>
        <w:keepNext/>
        <w:spacing w:before="280" w:after="80"/>
      </w:pPr>
      <w:r>
        <w:rPr>
          <w:rFonts w:ascii="Calibri" w:hAnsi="Calibri"/>
          <w:b/>
          <w:color w:val="1F3864"/>
          <w:sz w:val="26"/>
        </w:rPr>
        <w:t>2. Ruang Lingkup</w:t>
      </w:r>
    </w:p>
    <w:p>
      <w:pPr>
        <w:spacing w:before="0" w:after="60" w:line="276" w:lineRule="auto"/>
      </w:pPr>
      <w:r>
        <w:rPr>
          <w:rFonts w:ascii="Calibri" w:hAnsi="Calibri"/>
          <w:i w:val="0"/>
          <w:sz w:val="19"/>
        </w:rPr>
        <w:t>Matriks tanggung jawab ini berlaku untuk seluruh arsitektur dan layanan komputasi awan di PT Bina Audita Indonesia, mencakup:</w:t>
      </w:r>
    </w:p>
    <w:p>
      <w:pPr>
        <w:pStyle w:val="ListBullet"/>
        <w:spacing w:before="0" w:after="40" w:line="276" w:lineRule="auto"/>
      </w:pPr>
      <w:r>
        <w:rPr>
          <w:rFonts w:ascii="Calibri" w:hAnsi="Calibri"/>
          <w:b/>
          <w:sz w:val="19"/>
        </w:rPr>
        <w:t xml:space="preserve">• Komputasi Infrastruktur: </w:t>
      </w:r>
      <w:r>
        <w:rPr>
          <w:rFonts w:ascii="Calibri" w:hAnsi="Calibri"/>
          <w:sz w:val="19"/>
        </w:rPr>
        <w:t>Layanan IaaS (AWS EC2, VPC, GCP Compute Engine, Azure VM).</w:t>
      </w:r>
    </w:p>
    <w:p>
      <w:pPr>
        <w:pStyle w:val="ListBullet"/>
        <w:spacing w:before="0" w:after="40" w:line="276" w:lineRule="auto"/>
      </w:pPr>
      <w:r>
        <w:rPr>
          <w:rFonts w:ascii="Calibri" w:hAnsi="Calibri"/>
          <w:b/>
          <w:sz w:val="19"/>
        </w:rPr>
        <w:t xml:space="preserve">• Platform &amp; Database: </w:t>
      </w:r>
      <w:r>
        <w:rPr>
          <w:rFonts w:ascii="Calibri" w:hAnsi="Calibri"/>
          <w:sz w:val="19"/>
        </w:rPr>
        <w:t>Layanan PaaS (AWS RDS PostgreSQL, EKS, GCP Cloud SQL, GKE, Cloud Functions).</w:t>
      </w:r>
    </w:p>
    <w:p>
      <w:pPr>
        <w:pStyle w:val="ListBullet"/>
        <w:spacing w:before="0" w:after="40" w:line="276" w:lineRule="auto"/>
      </w:pPr>
      <w:r>
        <w:rPr>
          <w:rFonts w:ascii="Calibri" w:hAnsi="Calibri"/>
          <w:b/>
          <w:sz w:val="19"/>
        </w:rPr>
        <w:t xml:space="preserve">• Aplikasi Perangkat Lunak: </w:t>
      </w:r>
      <w:r>
        <w:rPr>
          <w:rFonts w:ascii="Calibri" w:hAnsi="Calibri"/>
          <w:sz w:val="19"/>
        </w:rPr>
        <w:t>Layanan SaaS (AuditSphere® Cloud, Google Workspace, GitHub Enterprise, Jira, Slack).</w:t>
      </w:r>
    </w:p>
    <w:p>
      <w:pPr>
        <w:keepNext/>
        <w:spacing w:before="280" w:after="80"/>
      </w:pPr>
      <w:r>
        <w:rPr>
          <w:rFonts w:ascii="Calibri" w:hAnsi="Calibri"/>
          <w:b/>
          <w:color w:val="1F3864"/>
          <w:sz w:val="26"/>
        </w:rPr>
        <w:t>3. Referensi Standar &amp; Regulasi</w:t>
      </w:r>
    </w:p>
    <w:p>
      <w:pPr>
        <w:pStyle w:val="ListBullet"/>
        <w:spacing w:before="0" w:after="40" w:line="276" w:lineRule="auto"/>
      </w:pPr>
      <w:r>
        <w:rPr>
          <w:rFonts w:ascii="Calibri" w:hAnsi="Calibri"/>
          <w:b/>
          <w:sz w:val="19"/>
        </w:rPr>
        <w:t xml:space="preserve">ISO/IEC 27001:2022: </w:t>
      </w:r>
      <w:r>
        <w:rPr>
          <w:rFonts w:ascii="Calibri" w:hAnsi="Calibri"/>
          <w:sz w:val="19"/>
        </w:rPr>
        <w:t>Keamanan informasi dalam penggunaan layanan cloud (A.5.23) dan Keamanan jaringan (A.8.20–A.8.24).</w:t>
      </w:r>
    </w:p>
    <w:p>
      <w:pPr>
        <w:pStyle w:val="ListBullet"/>
        <w:spacing w:before="0" w:after="40" w:line="276" w:lineRule="auto"/>
      </w:pPr>
      <w:r>
        <w:rPr>
          <w:rFonts w:ascii="Calibri" w:hAnsi="Calibri"/>
          <w:b/>
          <w:sz w:val="19"/>
        </w:rPr>
        <w:t xml:space="preserve">ISO/IEC 27017:2015: </w:t>
      </w:r>
      <w:r>
        <w:rPr>
          <w:rFonts w:ascii="Calibri" w:hAnsi="Calibri"/>
          <w:sz w:val="19"/>
        </w:rPr>
        <w:t>Pedoman kode praktik keamanan cloud untuk penyedia dan pengguna layanan.</w:t>
      </w:r>
    </w:p>
    <w:p>
      <w:pPr>
        <w:pStyle w:val="ListBullet"/>
        <w:spacing w:before="0" w:after="40" w:line="276" w:lineRule="auto"/>
      </w:pPr>
      <w:r>
        <w:rPr>
          <w:rFonts w:ascii="Calibri" w:hAnsi="Calibri"/>
          <w:b/>
          <w:sz w:val="19"/>
        </w:rPr>
        <w:t xml:space="preserve">CSA CCM v4.0: </w:t>
      </w:r>
      <w:r>
        <w:rPr>
          <w:rFonts w:ascii="Calibri" w:hAnsi="Calibri"/>
          <w:sz w:val="19"/>
        </w:rPr>
        <w:t>Cloud Security Alliance Cloud Controls Matrix (CCM v4.0).</w:t>
      </w:r>
    </w:p>
    <w:p>
      <w:pPr>
        <w:pStyle w:val="ListBullet"/>
        <w:spacing w:before="0" w:after="40" w:line="276" w:lineRule="auto"/>
      </w:pPr>
      <w:r>
        <w:rPr>
          <w:rFonts w:ascii="Calibri" w:hAnsi="Calibri"/>
          <w:b/>
          <w:sz w:val="19"/>
        </w:rPr>
        <w:t xml:space="preserve">CSP Architecture Standards: </w:t>
      </w:r>
      <w:r>
        <w:rPr>
          <w:rFonts w:ascii="Calibri" w:hAnsi="Calibri"/>
          <w:sz w:val="19"/>
        </w:rPr>
        <w:t>Shared Responsibility Model Dokumentasi Resmi AWS, GCP, dan Microsoft Azure.</w:t>
      </w:r>
    </w:p>
    <w:p>
      <w:pPr>
        <w:pStyle w:val="ListBullet"/>
        <w:spacing w:before="0" w:after="40" w:line="276" w:lineRule="auto"/>
      </w:pPr>
      <w:r>
        <w:rPr>
          <w:rFonts w:ascii="Calibri" w:hAnsi="Calibri"/>
          <w:b/>
          <w:sz w:val="19"/>
        </w:rPr>
        <w:t xml:space="preserve">CSP-001: </w:t>
      </w:r>
      <w:r>
        <w:rPr>
          <w:rFonts w:ascii="Calibri" w:hAnsi="Calibri"/>
          <w:sz w:val="19"/>
        </w:rPr>
        <w:t>Kebijakan Keamanan Cloud Internal PT Bina Audita Indonesia.</w:t>
      </w:r>
    </w:p>
    <w:p>
      <w:pPr>
        <w:keepNext/>
        <w:spacing w:before="280" w:after="80"/>
      </w:pPr>
      <w:r>
        <w:rPr>
          <w:rFonts w:ascii="Calibri" w:hAnsi="Calibri"/>
          <w:b/>
          <w:color w:val="1F3864"/>
          <w:sz w:val="26"/>
        </w:rPr>
        <w:t>4. Konsep Fundamental Shared Responsibility Model</w:t>
      </w:r>
    </w:p>
    <w:p>
      <w:pPr>
        <w:spacing w:before="0" w:after="60" w:line="276" w:lineRule="auto"/>
      </w:pPr>
      <w:r>
        <w:rPr>
          <w:rFonts w:ascii="Calibri" w:hAnsi="Calibri"/>
          <w:i w:val="0"/>
          <w:sz w:val="19"/>
        </w:rPr>
        <w:t>Prinsip dasar keamanan cloud membagi tanggung jawab menjadi dua ranah utama:</w:t>
      </w:r>
    </w:p>
    <w:p>
      <w:pPr>
        <w:pStyle w:val="ListBullet"/>
        <w:spacing w:before="0" w:after="40" w:line="276" w:lineRule="auto"/>
      </w:pPr>
      <w:r>
        <w:rPr>
          <w:rFonts w:ascii="Calibri" w:hAnsi="Calibri"/>
          <w:b/>
          <w:sz w:val="19"/>
        </w:rPr>
        <w:t xml:space="preserve">1. Security OF the Cloud (Tanggung Jawab CSP): </w:t>
      </w:r>
      <w:r>
        <w:rPr>
          <w:rFonts w:ascii="Calibri" w:hAnsi="Calibri"/>
          <w:sz w:val="19"/>
        </w:rPr>
        <w:t>CSP bertanggung jawab atas keamanan perangkat fisik, fasilitas data center, infrastruktur jaringan tulang punggung (backbone), dan virtualisasi hypervisor.</w:t>
      </w:r>
    </w:p>
    <w:p>
      <w:pPr>
        <w:pStyle w:val="ListBullet"/>
        <w:spacing w:before="0" w:after="40" w:line="276" w:lineRule="auto"/>
      </w:pPr>
      <w:r>
        <w:rPr>
          <w:rFonts w:ascii="Calibri" w:hAnsi="Calibri"/>
          <w:b/>
          <w:sz w:val="19"/>
        </w:rPr>
        <w:t xml:space="preserve">2. Security IN the Cloud (Tanggung Jawab Customer): </w:t>
      </w:r>
      <w:r>
        <w:rPr>
          <w:rFonts w:ascii="Calibri" w:hAnsi="Calibri"/>
          <w:sz w:val="19"/>
        </w:rPr>
        <w:t>PT Bina Audita Indonesia bertanggung jawab penuh atas data pelanggan, manajemen identitas dan hak akses (IAM), konfigurasi firewall/jaringan, enkripsi, patching OS/aplikasi, serta backup data.</w:t>
      </w:r>
    </w:p>
    <w:p>
      <w:pPr>
        <w:keepNext/>
        <w:spacing w:before="280" w:after="80"/>
      </w:pPr>
      <w:r>
        <w:rPr>
          <w:rFonts w:ascii="Calibri" w:hAnsi="Calibri"/>
          <w:b/>
          <w:color w:val="1F3864"/>
          <w:sz w:val="26"/>
        </w:rPr>
        <w:t>5. Matriks Tanggung Jawab Berdasarkan Model Layanan Cloud</w:t>
      </w:r>
    </w:p>
    <w:p>
      <w:pPr>
        <w:keepNext/>
        <w:spacing w:before="200" w:after="60"/>
      </w:pPr>
      <w:r>
        <w:rPr>
          <w:rFonts w:ascii="Calibri" w:hAnsi="Calibri"/>
          <w:b/>
          <w:color w:val="2E5597"/>
          <w:sz w:val="22"/>
        </w:rPr>
        <w:t>5.1 Infrastructure as a Service (IaaS) Responsibility Matrix</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Komponen Arsitektur</w:t>
            </w:r>
          </w:p>
        </w:tc>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Penyedia (CSP)</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Pelanggan (PT BAI)</w:t>
            </w:r>
          </w:p>
        </w:tc>
        <w:tc>
          <w:tcPr>
            <w:tcW w:type="dxa" w:w="3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Keterangan Operasional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Physical Security &amp; Data Center</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Fasilitas fisik, kontrol biometrik, CCTV, dan listrik ditangani CSP.</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Network Infrastructure &amp; Backbone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Kabel fisik, router backbone, dan hardware switch dikelola CSP.</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Virtualization / Hypervisor</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Isolasi perangkat keras dan firmware hypervisor dikelola CSP.</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Virtual Machines Compute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Provisioning, ukuran kapasitas, dan keamanan instance tanggung jawab tim.</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Operating System (OS) &amp; Kernel</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Patching berkala, hardening OS, dan konfigurasi kernel wajib dilakukan.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Storage &amp; Block Volumes</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sediakan hardware disk; pelanggan wajib aktifkan enkripsi AES-256.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VPC &amp; Network Configuration</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sediakan isolasi jaringan; pelanggan kelola subnet, routing, &amp; NAT.</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Firewall &amp; Security Groups</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sediakan engine firewall; pelanggan kelola inbound/outbound rules.</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Runtime &amp; Middleware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Instalasi dan pembaruan Node.js, Python, Docker engine tanggung jawab tim.</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Application Code &amp; Logic</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Pengembangan kode aman AuditSphere® dan scanning dependensi internal.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&amp; Classification</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Klasifikasi data, sanitasi PII, dan retensi data tanggung jawab mutlak.</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Identity &amp; Access Management (IAM)</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sediakan platform IAM; pelanggan definisikan user, role, &amp; enforce MFA.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Audit Logging &amp; Monitoring</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catat API call (CloudTrail); pelanggan integrasikan log ke SIEM.</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Backup &amp; Disaster Recovery</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Pembuatan snapshot harian dan rencana replikasi cross-region tanggung jawab tim.</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Compliance &amp; Certification</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sediakan sertifikasi cloud; pelanggan wajib lulus audit ISO 27001.</w:t>
            </w:r>
          </w:p>
        </w:tc>
      </w:tr>
    </w:tbl>
    <w:p>
      <w:pPr>
        <w:spacing w:before="0" w:after="80"/>
      </w:pPr>
    </w:p>
    <w:p>
      <w:pPr>
        <w:keepNext/>
        <w:spacing w:before="200" w:after="60"/>
      </w:pPr>
      <w:r>
        <w:rPr>
          <w:rFonts w:ascii="Calibri" w:hAnsi="Calibri"/>
          <w:b/>
          <w:color w:val="2E5597"/>
          <w:sz w:val="22"/>
        </w:rPr>
        <w:t>5.2 Platform as a Service (PaaS) Responsibility Matrix</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Komponen Arsitektur</w:t>
            </w:r>
          </w:p>
        </w:tc>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Penyedia (CSP)</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Pelanggan (PT BAI)</w:t>
            </w:r>
          </w:p>
        </w:tc>
        <w:tc>
          <w:tcPr>
            <w:tcW w:type="dxa" w:w="3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Keterangan Operasional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Physical, Network &amp; Hypervisor</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Dikelola sepenuhnya oleh penyedia cloud.</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Operating System &amp; Patching</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Patching OS database (RDS/Cloud SQL) otomatis ditangani CSP.</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Database Engine / Runtime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Penyedia kelola versi PostgreSQL dan binary database engine.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Application Code / Stored Procedure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Logika aplikasi, query SQL, dan migrasi skema tabel tanggung jawab tim.</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&amp; Database Records</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Isi basis data, enkripsi tabel, dan hak akses user DB tanggung jawab tim.</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IAM &amp; Database Access Control</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sediakan autentikasi IAM; pelanggan kelola koneksi grant/revoke.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Network Firewall &amp; Endpoint Access</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sediakan VPC peering; pelanggan batasi akses ke private subnet.</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Logging &amp; Performance Insights</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catat query metrics; pelanggan pantau anomali dan alert slow query.</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Automated Backup &amp; Point-in-Time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jalankan engine snapshot; pelanggan tentukan retensi &amp; uji restore.</w:t>
            </w:r>
          </w:p>
        </w:tc>
      </w:tr>
    </w:tbl>
    <w:p>
      <w:pPr>
        <w:spacing w:before="0" w:after="80"/>
      </w:pPr>
    </w:p>
    <w:p>
      <w:pPr>
        <w:keepNext/>
        <w:spacing w:before="200" w:after="60"/>
      </w:pPr>
      <w:r>
        <w:rPr>
          <w:rFonts w:ascii="Calibri" w:hAnsi="Calibri"/>
          <w:b/>
          <w:color w:val="2E5597"/>
          <w:sz w:val="22"/>
        </w:rPr>
        <w:t>5.3 Software as a Service (SaaS) Responsibility Matrix</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Komponen Arsitektur</w:t>
            </w:r>
          </w:p>
        </w:tc>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Penyedia (CSP)</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Pelanggan (PT BAI)</w:t>
            </w:r>
          </w:p>
        </w:tc>
        <w:tc>
          <w:tcPr>
            <w:tcW w:type="dxa" w:w="3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Keterangan Operasional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Infrastruktur, OS &amp; Runtime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Dikelola penuh oleh vendor SaaS (Google, GitHub, Atlassian).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Application Code &amp; Patching</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Vendor bertanggung jawab atas pembaruan fitur dan patch kerentanan.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Ownership &amp; Management</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Data milik PT BAI; vendor wajib lindungi data sesuai DPA &amp; UU PDP.</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User Provisioning &amp; SSO Integration</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Vendor sediakan integrasi SAML/OIDC; pelanggan kelola akun &amp; MFA.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Role-Based Access Control (RBAC)</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Vendor sediakan permission matrix; pelanggan atur hak akses per user.</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Tenant Security Configuration</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Penuh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Pelanggan wajib konfigurasikan security baseline (misal GitHub 2FA enforce).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Audit Log Export &amp; Archiving</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Bersama (⚠️)</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Vendor sediakan audit log; pelanggan wajib unduh dan arsipkan log berkala.</w:t>
            </w:r>
          </w:p>
        </w:tc>
      </w:tr>
    </w:tbl>
    <w:p>
      <w:pPr>
        <w:spacing w:before="0" w:after="80"/>
      </w:pPr>
    </w:p>
    <w:p>
      <w:pPr>
        <w:keepNext/>
        <w:spacing w:before="280" w:after="80"/>
      </w:pPr>
      <w:r>
        <w:rPr>
          <w:rFonts w:ascii="Calibri" w:hAnsi="Calibri"/>
          <w:b/>
          <w:color w:val="1F3864"/>
          <w:sz w:val="26"/>
        </w:rPr>
        <w:t>6. Matriks Tanggung Jawab Spesifik Penyedia Hyperscaler</w:t>
      </w:r>
    </w:p>
    <w:p>
      <w:pPr>
        <w:keepNext/>
        <w:spacing w:before="200" w:after="60"/>
      </w:pPr>
      <w:r>
        <w:rPr>
          <w:rFonts w:ascii="Calibri" w:hAnsi="Calibri"/>
          <w:b/>
          <w:color w:val="2E5597"/>
          <w:sz w:val="22"/>
        </w:rPr>
        <w:t>6.1 Layanan Amazon Web Services (AWS)</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Layanan AWS</w:t>
            </w:r>
          </w:p>
        </w:tc>
        <w:tc>
          <w:tcPr>
            <w:tcW w:type="dxa" w:w="3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AWS</w:t>
            </w:r>
          </w:p>
        </w:tc>
        <w:tc>
          <w:tcPr>
            <w:tcW w:type="dxa" w:w="4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PT Bina Audita Indonesia</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Amazon EC2</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Hardware, host OS, hypervisor, fasilitas data center.</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Guest OS, patch kernel, security group, SSH keys, aplikasi.</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Amazon S3</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storage, redundansi data multi-AZ.</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Bucket policy, Block Public Access, enkripsi KMS, akses IAM.</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Amazon RDS</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Provisioning host, backup otomatis, patch database engine.</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Skema database, query optimization, otorisasi user DB, SSL connect.</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AWS Lambda</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Runtime maintenance, server provisioning, scaling.</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Kode fungsi Lambda, environment variables, IAM execution role.</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Amazon VPC</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Isolasi SDN (Software Defined Network), router fisik.</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CIDR allocation, subnetting publik/privat, NAT Gateway, NACL.</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AWS IAM</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Ketersediaan platform otentikasi global, infrastruktur STS.</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Pembuatan user/role, prinsip least privilege, enforced MFA, rotasi token.</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AWS CloudTrail</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Pencatatan API events pada infrastruktur AWS.</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Aktivasi multi-region trail, log file validation, integrasi SIEM.</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AWS KMS</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Keamanan fisik modul HSM (FIPS 140-2 Level 3).</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Key policy, rotasi kunci CMK, pengelolaan izin dekripsi/enkripsi.</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Amazon CloudFront</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Jaringan Edge location global, mitigasi DDoS dasar.</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Konfigurasi SSL certificate, WAF rules, cache policy, origin security.</w:t>
            </w:r>
          </w:p>
        </w:tc>
      </w:tr>
    </w:tbl>
    <w:p>
      <w:pPr>
        <w:spacing w:before="0" w:after="80"/>
      </w:pPr>
    </w:p>
    <w:p>
      <w:pPr>
        <w:keepNext/>
        <w:spacing w:before="200" w:after="60"/>
      </w:pPr>
      <w:r>
        <w:rPr>
          <w:rFonts w:ascii="Calibri" w:hAnsi="Calibri"/>
          <w:b/>
          <w:color w:val="2E5597"/>
          <w:sz w:val="22"/>
        </w:rPr>
        <w:t>6.2 Layanan Google Cloud Platform (GCP)</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Layanan GCP</w:t>
            </w:r>
          </w:p>
        </w:tc>
        <w:tc>
          <w:tcPr>
            <w:tcW w:type="dxa" w:w="3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Google Cloud</w:t>
            </w:r>
          </w:p>
        </w:tc>
        <w:tc>
          <w:tcPr>
            <w:tcW w:type="dxa" w:w="4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PT Bina Audita Indonesia</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Compute Engine</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server fisik, hypervisor KVM.</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Guest OS, OS Login, firewall VPC, patching sistem operasi.</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Cloud Storage</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Penyimpanan objek redundan, enkripsi default.</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Bucket IAM permissions, uniform bucket-level access, object lifecycle.</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Cloud SQL</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Pemeliharaan engine DB, automated failover HA.</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Akses jaringan privat (Private IP), database users, SSL/TLS enforcement.</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Cloud Functions</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Container sandbox gVisor, orkestrasi event.</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Kode aplikasi, secrets handling via Secret Manager, timeout limits.</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VPC Network</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Global Andromeda SDN, physical switching.</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Subnet regional, firewall rules (allow/deny), Private Service Connect.</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Cloud IAM</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Google Identity, OAuth2 verification.</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Pemberian peran IAM (Role Binding), penegakan MFA/Titan keys.</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Cloud Logging</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penyerapan log dan storage backend.</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Konfigurasi Log Sink ke BigQuery, alerting log query, retention policy.</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Cloud KMS</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modul HSM Google.</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Key Ring management, rotasi kunci enkripsi, pembatasan akses decrypter.</w:t>
            </w:r>
          </w:p>
        </w:tc>
      </w:tr>
    </w:tbl>
    <w:p>
      <w:pPr>
        <w:spacing w:before="0" w:after="80"/>
      </w:pPr>
    </w:p>
    <w:p>
      <w:pPr>
        <w:keepNext/>
        <w:spacing w:before="200" w:after="60"/>
      </w:pPr>
      <w:r>
        <w:rPr>
          <w:rFonts w:ascii="Calibri" w:hAnsi="Calibri"/>
          <w:b/>
          <w:color w:val="2E5597"/>
          <w:sz w:val="22"/>
        </w:rPr>
        <w:t>6.3 Layanan Microsoft Azure</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Layanan Azure</w:t>
            </w:r>
          </w:p>
        </w:tc>
        <w:tc>
          <w:tcPr>
            <w:tcW w:type="dxa" w:w="3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Microsoft Azure</w:t>
            </w:r>
          </w:p>
        </w:tc>
        <w:tc>
          <w:tcPr>
            <w:tcW w:type="dxa" w:w="4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PT Bina Audita Indonesia</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Azure VMs</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Hardware fisik, Hyper-V hypervisor, fasilitas.</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OS image hardening, patch management via Update Manager, NSG.</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Blob Storage</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Redundansi data (LRS/GRS), enkripsi storage service.</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Container access policies, SAS tokens security, Private Endpoints.</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Azure SQL</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Manajemen infrastruktur SQL, automated tuning.</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Database firewall rules, TDE customer keys, audit logging setup.</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Azure Functions</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Scale controller, serverless runtime hosting.</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Function code, application settings, Managed Identity assignment.</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Virtual Network (VNet)</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jaringan virtual Azure.</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Subnet design, Network Security Groups (NSG), routing table UDR.</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Microsoft Entra ID</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global identity and access directory.</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Conditional Access policies, PIM (Privileged Identity Management), MFA.</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Azure Monitor</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Platform telemetri terintegrasi dan Log Analytics.</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Workspace configuration, Diagnostic settings, SIEM Sentinel rules.</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Azure Key Vault</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Keamanan perangkat keras HSM tersertifikasi.</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Access policies, secret expiry dates, Key Vault firewall restrictions.</w:t>
            </w:r>
          </w:p>
        </w:tc>
      </w:tr>
    </w:tbl>
    <w:p>
      <w:pPr>
        <w:spacing w:before="0" w:after="80"/>
      </w:pPr>
    </w:p>
    <w:p>
      <w:pPr>
        <w:keepNext/>
        <w:spacing w:before="280" w:after="80"/>
      </w:pPr>
      <w:r>
        <w:rPr>
          <w:rFonts w:ascii="Calibri" w:hAnsi="Calibri"/>
          <w:b/>
          <w:color w:val="1F3864"/>
          <w:sz w:val="26"/>
        </w:rPr>
        <w:t>7. Kewajiban &amp; Tanggung Jawab Mutlak PT Bina Audita Indonesia</w:t>
      </w:r>
    </w:p>
    <w:p>
      <w:pPr>
        <w:spacing w:before="0" w:after="60" w:line="276" w:lineRule="auto"/>
      </w:pPr>
      <w:r>
        <w:rPr>
          <w:rFonts w:ascii="Calibri" w:hAnsi="Calibri"/>
          <w:i w:val="0"/>
          <w:sz w:val="19"/>
        </w:rPr>
        <w:t>PT Bina Audita Indonesia memegang tanggung jawab penuh atas kewajiban operasional berikut:</w:t>
      </w:r>
    </w:p>
    <w:p>
      <w:pPr>
        <w:pStyle w:val="ListBullet"/>
        <w:spacing w:before="0" w:after="40" w:line="276" w:lineRule="auto"/>
      </w:pPr>
      <w:r>
        <w:rPr>
          <w:rFonts w:ascii="Calibri" w:hAnsi="Calibri"/>
          <w:b/>
          <w:sz w:val="19"/>
        </w:rPr>
        <w:t xml:space="preserve">1. Pemahaman Shared Responsibility: </w:t>
      </w:r>
      <w:r>
        <w:rPr>
          <w:rFonts w:ascii="Calibri" w:hAnsi="Calibri"/>
          <w:sz w:val="19"/>
        </w:rPr>
        <w:t>Memastikan seluruh arsitek dan teknisi memahami batas tanggung jawab bersama.</w:t>
      </w:r>
    </w:p>
    <w:p>
      <w:pPr>
        <w:pStyle w:val="ListBullet"/>
        <w:spacing w:before="0" w:after="40" w:line="276" w:lineRule="auto"/>
      </w:pPr>
      <w:r>
        <w:rPr>
          <w:rFonts w:ascii="Calibri" w:hAnsi="Calibri"/>
          <w:b/>
          <w:sz w:val="19"/>
        </w:rPr>
        <w:t xml:space="preserve">2. Konfigurasi Aman: </w:t>
      </w:r>
      <w:r>
        <w:rPr>
          <w:rFonts w:ascii="Calibri" w:hAnsi="Calibri"/>
          <w:sz w:val="19"/>
        </w:rPr>
        <w:t>Mengonfigurasi seluruh layanan cloud dengan standar keamanan ketat (CIS Benchmarks).</w:t>
      </w:r>
    </w:p>
    <w:p>
      <w:pPr>
        <w:pStyle w:val="ListBullet"/>
        <w:spacing w:before="0" w:after="40" w:line="276" w:lineRule="auto"/>
      </w:pPr>
      <w:r>
        <w:rPr>
          <w:rFonts w:ascii="Calibri" w:hAnsi="Calibri"/>
          <w:b/>
          <w:sz w:val="19"/>
        </w:rPr>
        <w:t xml:space="preserve">3. Tata Kelola Identitas (IAM): </w:t>
      </w:r>
      <w:r>
        <w:rPr>
          <w:rFonts w:ascii="Calibri" w:hAnsi="Calibri"/>
          <w:sz w:val="19"/>
        </w:rPr>
        <w:t>Menerapkan prinsip hak akses terkecil (Least Privilege) dan mewajibkan MFA.</w:t>
      </w:r>
    </w:p>
    <w:p>
      <w:pPr>
        <w:pStyle w:val="ListBullet"/>
        <w:spacing w:before="0" w:after="40" w:line="276" w:lineRule="auto"/>
      </w:pPr>
      <w:r>
        <w:rPr>
          <w:rFonts w:ascii="Calibri" w:hAnsi="Calibri"/>
          <w:b/>
          <w:sz w:val="19"/>
        </w:rPr>
        <w:t xml:space="preserve">4. Proteksi Kriptografi: </w:t>
      </w:r>
      <w:r>
        <w:rPr>
          <w:rFonts w:ascii="Calibri" w:hAnsi="Calibri"/>
          <w:sz w:val="19"/>
        </w:rPr>
        <w:t>Mengaktifkan enkripsi AES-256 dan TLS 1.3 pada seluruh data tanpa terkecuali.</w:t>
      </w:r>
    </w:p>
    <w:p>
      <w:pPr>
        <w:pStyle w:val="ListBullet"/>
        <w:spacing w:before="0" w:after="40" w:line="276" w:lineRule="auto"/>
      </w:pPr>
      <w:r>
        <w:rPr>
          <w:rFonts w:ascii="Calibri" w:hAnsi="Calibri"/>
          <w:b/>
          <w:sz w:val="19"/>
        </w:rPr>
        <w:t xml:space="preserve">5. Monitoring &amp; Alerting: </w:t>
      </w:r>
      <w:r>
        <w:rPr>
          <w:rFonts w:ascii="Calibri" w:hAnsi="Calibri"/>
          <w:sz w:val="19"/>
        </w:rPr>
        <w:t>Memantau peringatan keamanan, log CloudTrail, dan anomali jaringan 24/7.</w:t>
      </w:r>
    </w:p>
    <w:p>
      <w:pPr>
        <w:pStyle w:val="ListBullet"/>
        <w:spacing w:before="0" w:after="40" w:line="276" w:lineRule="auto"/>
      </w:pPr>
      <w:r>
        <w:rPr>
          <w:rFonts w:ascii="Calibri" w:hAnsi="Calibri"/>
          <w:b/>
          <w:sz w:val="19"/>
        </w:rPr>
        <w:t xml:space="preserve">6. Backup &amp; Disaster Recovery: </w:t>
      </w:r>
      <w:r>
        <w:rPr>
          <w:rFonts w:ascii="Calibri" w:hAnsi="Calibri"/>
          <w:sz w:val="19"/>
        </w:rPr>
        <w:t>Melakukan snapshot harian serta menguji simulasi pemulihan data (restore) berkala.</w:t>
      </w:r>
    </w:p>
    <w:p>
      <w:pPr>
        <w:pStyle w:val="ListBullet"/>
        <w:spacing w:before="0" w:after="40" w:line="276" w:lineRule="auto"/>
      </w:pPr>
      <w:r>
        <w:rPr>
          <w:rFonts w:ascii="Calibri" w:hAnsi="Calibri"/>
          <w:b/>
          <w:sz w:val="19"/>
        </w:rPr>
        <w:t xml:space="preserve">7. Patch &amp; Vulnerability Management: </w:t>
      </w:r>
      <w:r>
        <w:rPr>
          <w:rFonts w:ascii="Calibri" w:hAnsi="Calibri"/>
          <w:sz w:val="19"/>
        </w:rPr>
        <w:t>Memindai dan menambal kerentanan sistem operasi, kontainer, dan dependensi kode.</w:t>
      </w:r>
    </w:p>
    <w:p>
      <w:pPr>
        <w:pStyle w:val="ListBullet"/>
        <w:spacing w:before="0" w:after="40" w:line="276" w:lineRule="auto"/>
      </w:pPr>
      <w:r>
        <w:rPr>
          <w:rFonts w:ascii="Calibri" w:hAnsi="Calibri"/>
          <w:b/>
          <w:sz w:val="19"/>
        </w:rPr>
        <w:t xml:space="preserve">8. Kepatuhan Regulasi: </w:t>
      </w:r>
      <w:r>
        <w:rPr>
          <w:rFonts w:ascii="Calibri" w:hAnsi="Calibri"/>
          <w:sz w:val="19"/>
        </w:rPr>
        <w:t>Menjaga kepatuhan terhadap standar ISO/IEC 27001:2022 dan UU PDP No. 27/2022.</w:t>
      </w:r>
    </w:p>
    <w:p>
      <w:pPr>
        <w:keepNext/>
        <w:spacing w:before="280" w:after="80"/>
      </w:pPr>
      <w:r>
        <w:rPr>
          <w:rFonts w:ascii="Calibri" w:hAnsi="Calibri"/>
          <w:b/>
          <w:color w:val="1F3864"/>
          <w:sz w:val="26"/>
        </w:rPr>
        <w:t>8. Kewajiban &amp; Tanggung Jawab Cloud Service Provider (CSP)</w:t>
      </w:r>
    </w:p>
    <w:p>
      <w:pPr>
        <w:spacing w:before="0" w:after="60" w:line="276" w:lineRule="auto"/>
      </w:pPr>
      <w:r>
        <w:rPr>
          <w:rFonts w:ascii="Calibri" w:hAnsi="Calibri"/>
          <w:i w:val="0"/>
          <w:sz w:val="19"/>
        </w:rPr>
        <w:t>Penyedia cloud (CSP) berkewajiban memenuhi standar berikut:</w:t>
      </w:r>
    </w:p>
    <w:p>
      <w:pPr>
        <w:pStyle w:val="ListBullet"/>
        <w:spacing w:before="0" w:after="40" w:line="276" w:lineRule="auto"/>
      </w:pPr>
      <w:r>
        <w:rPr>
          <w:rFonts w:ascii="Calibri" w:hAnsi="Calibri"/>
          <w:b/>
          <w:sz w:val="19"/>
        </w:rPr>
        <w:t xml:space="preserve">1. Keamanan Fasilitas Fisik: </w:t>
      </w:r>
      <w:r>
        <w:rPr>
          <w:rFonts w:ascii="Calibri" w:hAnsi="Calibri"/>
          <w:sz w:val="19"/>
        </w:rPr>
        <w:t>Menjaga keamanan fisik pusat data dari akses tanpa izin, kebakaran, dan bencana alam.</w:t>
      </w:r>
    </w:p>
    <w:p>
      <w:pPr>
        <w:pStyle w:val="ListBullet"/>
        <w:spacing w:before="0" w:after="40" w:line="276" w:lineRule="auto"/>
      </w:pPr>
      <w:r>
        <w:rPr>
          <w:rFonts w:ascii="Calibri" w:hAnsi="Calibri"/>
          <w:b/>
          <w:sz w:val="19"/>
        </w:rPr>
        <w:t xml:space="preserve">2. Isolasi Tenant (Multi-Tenancy): </w:t>
      </w:r>
      <w:r>
        <w:rPr>
          <w:rFonts w:ascii="Calibri" w:hAnsi="Calibri"/>
          <w:sz w:val="19"/>
        </w:rPr>
        <w:t>Mengisolasi lalu lintas komputasi antar-pelanggan pada layer hypervisor secara mutlak.</w:t>
      </w:r>
    </w:p>
    <w:p>
      <w:pPr>
        <w:pStyle w:val="ListBullet"/>
        <w:spacing w:before="0" w:after="40" w:line="276" w:lineRule="auto"/>
      </w:pPr>
      <w:r>
        <w:rPr>
          <w:rFonts w:ascii="Calibri" w:hAnsi="Calibri"/>
          <w:b/>
          <w:sz w:val="19"/>
        </w:rPr>
        <w:t xml:space="preserve">3. Sertifikasi Kepatuhan: </w:t>
      </w:r>
      <w:r>
        <w:rPr>
          <w:rFonts w:ascii="Calibri" w:hAnsi="Calibri"/>
          <w:sz w:val="19"/>
        </w:rPr>
        <w:t>Mempertahankan sertifikasi ISO 27001, ISO 27017, ISO 27018, dan laporan SOC 2 Type II.</w:t>
      </w:r>
    </w:p>
    <w:p>
      <w:pPr>
        <w:pStyle w:val="ListBullet"/>
        <w:spacing w:before="0" w:after="40" w:line="276" w:lineRule="auto"/>
      </w:pPr>
      <w:r>
        <w:rPr>
          <w:rFonts w:ascii="Calibri" w:hAnsi="Calibri"/>
          <w:b/>
          <w:sz w:val="19"/>
        </w:rPr>
        <w:t xml:space="preserve">4. Notifikasi Insiden Keamanan: </w:t>
      </w:r>
      <w:r>
        <w:rPr>
          <w:rFonts w:ascii="Calibri" w:hAnsi="Calibri"/>
          <w:sz w:val="19"/>
        </w:rPr>
        <w:t>Memberitahukan insiden kebocoran atau gangguan infrastruktur secara tertulis dalam &lt; 24 jam.</w:t>
      </w:r>
    </w:p>
    <w:p>
      <w:pPr>
        <w:pStyle w:val="ListBullet"/>
        <w:spacing w:before="0" w:after="40" w:line="276" w:lineRule="auto"/>
      </w:pPr>
      <w:r>
        <w:rPr>
          <w:rFonts w:ascii="Calibri" w:hAnsi="Calibri"/>
          <w:b/>
          <w:sz w:val="19"/>
        </w:rPr>
        <w:t xml:space="preserve">5. Jaminan Ketersediaan SLA: </w:t>
      </w:r>
      <w:r>
        <w:rPr>
          <w:rFonts w:ascii="Calibri" w:hAnsi="Calibri"/>
          <w:sz w:val="19"/>
        </w:rPr>
        <w:t>Menyediakan ketersediaan layanan sesuai komitmen Service Level Agreement (SLA ≥ 99.9%).</w:t>
      </w:r>
    </w:p>
    <w:p>
      <w:pPr>
        <w:keepNext/>
        <w:spacing w:before="280" w:after="80"/>
      </w:pPr>
      <w:r>
        <w:rPr>
          <w:rFonts w:ascii="Calibri" w:hAnsi="Calibri"/>
          <w:b/>
          <w:color w:val="1F3864"/>
          <w:sz w:val="26"/>
        </w:rPr>
        <w:t>9. Studi Kasus Insiden Nyata &amp; Analisis Pembagian Tanggung Jawab</w:t>
      </w:r>
    </w:p>
    <w:p>
      <w:pPr>
        <w:keepNext/>
        <w:spacing w:before="200" w:after="60"/>
      </w:pPr>
      <w:r>
        <w:rPr>
          <w:rFonts w:ascii="Calibri" w:hAnsi="Calibri"/>
          <w:b/>
          <w:color w:val="2E5597"/>
          <w:sz w:val="22"/>
        </w:rPr>
        <w:t>9.1 Studi Kasus 1: Insiden Kebocoran Data S3 Bucket Terbuka Publik</w:t>
      </w:r>
    </w:p>
    <w:p>
      <w:pPr>
        <w:spacing w:before="0" w:after="60" w:line="276" w:lineRule="auto"/>
      </w:pPr>
      <w:r>
        <w:rPr>
          <w:rFonts w:ascii="Calibri" w:hAnsi="Calibri"/>
          <w:i w:val="0"/>
          <w:sz w:val="19"/>
        </w:rPr>
        <w:t>Skenario: Sebuah bucket S3 yang menyimpan dokumen bukti audit klien terbuka untuk akses publik tanpa otentikasi sehingga dapat diunduh pihak luar.</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Elemen Keamanan</w:t>
            </w:r>
          </w:p>
        </w:tc>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CSP</w:t>
            </w:r>
          </w:p>
        </w:tc>
        <w:tc>
          <w:tcPr>
            <w:tcW w:type="dxa" w:w="24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Pelanggan (PT BAI)</w:t>
            </w:r>
          </w:p>
        </w:tc>
        <w:tc>
          <w:tcPr>
            <w:tcW w:type="dxa" w:w="2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Analisis Penyebab</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Bucket Access Policy</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Sediakan fitur policy &amp; ACL</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Konfigurasi izin bucket (Wajib Privat)</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Pelanggan keliru memberi izin 'Principal: *'.</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Block Public Access</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Fitur tersedia aktif by default</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pertahankan status aktif</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Pelanggan sengaja mendisabel fitur proteksi.</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Enkripsi Server-Side</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Engine AES-256 tersedia</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aktifkan KMS encryption</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Enkripsi aktif, namun akses baca bocor via web.</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Audit Trail API</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Rekam get/put object logs</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analisa log di SIEM</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Pelanggan lambat mendeteksi kebocoran log.</w:t>
            </w:r>
          </w:p>
        </w:tc>
      </w:tr>
    </w:tbl>
    <w:p>
      <w:pPr>
        <w:spacing w:before="0" w:after="80"/>
      </w:pPr>
    </w:p>
    <w:p>
      <w:pPr>
        <w:spacing w:before="0" w:after="60" w:line="276" w:lineRule="auto"/>
      </w:pPr>
      <w:r>
        <w:rPr>
          <w:rFonts w:ascii="Calibri" w:hAnsi="Calibri"/>
          <w:i w:val="0"/>
          <w:sz w:val="19"/>
        </w:rPr>
        <w:t>Kesimpulan Insiden: Pelanggaran sepenuhnya berada di ranah tanggung jawab Pelanggan (PT Bina Audita Indonesia) akibat miskonfigurasi hak akses bucket.</w:t>
      </w:r>
    </w:p>
    <w:p>
      <w:pPr>
        <w:keepNext/>
        <w:spacing w:before="200" w:after="60"/>
      </w:pPr>
      <w:r>
        <w:rPr>
          <w:rFonts w:ascii="Calibri" w:hAnsi="Calibri"/>
          <w:b/>
          <w:color w:val="2E5597"/>
          <w:sz w:val="22"/>
        </w:rPr>
        <w:t>9.2 Studi Kasus 2: Kompromi Server EC2 Akibat Ketiadaan Patch OS</w:t>
      </w:r>
    </w:p>
    <w:p>
      <w:pPr>
        <w:spacing w:before="0" w:after="60" w:line="276" w:lineRule="auto"/>
      </w:pPr>
      <w:r>
        <w:rPr>
          <w:rFonts w:ascii="Calibri" w:hAnsi="Calibri"/>
          <w:i w:val="0"/>
          <w:sz w:val="19"/>
        </w:rPr>
        <w:t>Skenario: Instance VM disusupi penyerang melalui eksploitasi kerentanan Remote Code Execution (RCE) pada kernel Linux yang belum dipatch selama 6 bulan.</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Elemen Keamanan</w:t>
            </w:r>
          </w:p>
        </w:tc>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CSP</w:t>
            </w:r>
          </w:p>
        </w:tc>
        <w:tc>
          <w:tcPr>
            <w:tcW w:type="dxa" w:w="24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Pelanggan (PT BAI)</w:t>
            </w:r>
          </w:p>
        </w:tc>
        <w:tc>
          <w:tcPr>
            <w:tcW w:type="dxa" w:w="2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Analisis Penyebab</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Hypervisor Security</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Patch firmware host VM</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akses ke host</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Hypervisor terbukti aman dan tidak tertembus.</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Guest Operating System</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Sediakan template AMI resmi</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Patching berkala OS instance</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Pelanggan lalai menerapkan update keamanan kernel.</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Network Firewall</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Engine Security Group aktif</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Buka port seperlunya</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Port manajemen terbuka ke 0.0.0.0/0.</w:t>
            </w:r>
          </w:p>
        </w:tc>
      </w:tr>
    </w:tbl>
    <w:p>
      <w:pPr>
        <w:spacing w:before="0" w:after="80"/>
      </w:pPr>
    </w:p>
    <w:p>
      <w:pPr>
        <w:spacing w:before="0" w:after="60" w:line="276" w:lineRule="auto"/>
      </w:pPr>
      <w:r>
        <w:rPr>
          <w:rFonts w:ascii="Calibri" w:hAnsi="Calibri"/>
          <w:i w:val="0"/>
          <w:sz w:val="19"/>
        </w:rPr>
        <w:t>Kesimpulan Insiden: Tanggung jawab mutlak berada di ranah Pelanggan karena CSP tidak memiliki hak atau kewajiban memodifikasi OS di dalam VM pelanggan.</w:t>
      </w:r>
    </w:p>
    <w:p>
      <w:pPr>
        <w:keepNext/>
        <w:spacing w:before="200" w:after="60"/>
      </w:pPr>
      <w:r>
        <w:rPr>
          <w:rFonts w:ascii="Calibri" w:hAnsi="Calibri"/>
          <w:b/>
          <w:color w:val="2E5597"/>
          <w:sz w:val="22"/>
        </w:rPr>
        <w:t>9.3 Studi Kasus 3: Kegagalan Outage Regional CSP &amp; Kesiapan Disaster Recovery</w:t>
      </w:r>
    </w:p>
    <w:p>
      <w:pPr>
        <w:spacing w:before="0" w:after="60" w:line="276" w:lineRule="auto"/>
      </w:pPr>
      <w:r>
        <w:rPr>
          <w:rFonts w:ascii="Calibri" w:hAnsi="Calibri"/>
          <w:i w:val="0"/>
          <w:sz w:val="19"/>
        </w:rPr>
        <w:t>Skenario: Seluruh pusat data penyedia cloud di suatu kawasan regional mengalami pemadaman total akibat bencana cuaca ekstrem selama 8 jam.</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Elemen Keamanan</w:t>
            </w:r>
          </w:p>
        </w:tc>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CSP</w:t>
            </w:r>
          </w:p>
        </w:tc>
        <w:tc>
          <w:tcPr>
            <w:tcW w:type="dxa" w:w="24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Pelanggan (PT BAI)</w:t>
            </w:r>
          </w:p>
        </w:tc>
        <w:tc>
          <w:tcPr>
            <w:tcW w:type="dxa" w:w="2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Analisis Penyebab</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Infrastruktur Data Center</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Pulihkan listrik &amp; hardware</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Tidak ada kontrol fisik</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 wajib ganti rugi service credit sesuai SLA.</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Ketersediaan Aplikasi</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Tergantung region fisik</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Arsitektur Multi-Region / DR Failover</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Aplikasi mati total jika pelanggan hanya deploy single region.</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Komunikasi ke Pengguna</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Publikasikan status dashboard</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Informasikan status ke klien audit</w:t>
            </w:r>
          </w:p>
        </w:tc>
        <w:tc>
          <w:tcPr>
            <w:tcW w:type="dxa" w:w="2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Pelanggan wajib miliki jalur komunikasi cadangan.</w:t>
            </w:r>
          </w:p>
        </w:tc>
      </w:tr>
    </w:tbl>
    <w:p>
      <w:pPr>
        <w:spacing w:before="0" w:after="80"/>
      </w:pPr>
    </w:p>
    <w:p>
      <w:pPr>
        <w:spacing w:before="0" w:after="60" w:line="276" w:lineRule="auto"/>
      </w:pPr>
      <w:r>
        <w:rPr>
          <w:rFonts w:ascii="Calibri" w:hAnsi="Calibri"/>
          <w:i w:val="0"/>
          <w:sz w:val="19"/>
        </w:rPr>
        <w:t>Kesimpulan Insiden: CSP bertanggung jawab atas pemulihan hardware dan pinalti SLA; namun kelangsungan layanan aplikasi pelanggan bergantung penuh pada arsitektur DR Multi-Region yang dirancang oleh Pelanggan.</w:t>
      </w:r>
    </w:p>
    <w:p>
      <w:pPr>
        <w:keepNext/>
        <w:spacing w:before="280" w:after="80"/>
      </w:pPr>
      <w:r>
        <w:rPr>
          <w:rFonts w:ascii="Calibri" w:hAnsi="Calibri"/>
          <w:b/>
          <w:color w:val="1F3864"/>
          <w:sz w:val="26"/>
        </w:rPr>
        <w:t>10. Checklist Kepatuhan Operasional Tim Internal (12 Kontrol Inti)</w:t>
      </w:r>
    </w:p>
    <w:p>
      <w:pPr>
        <w:spacing w:before="0" w:after="60" w:line="276" w:lineRule="auto"/>
      </w:pPr>
      <w:r>
        <w:rPr>
          <w:rFonts w:ascii="Calibri" w:hAnsi="Calibri"/>
          <w:i w:val="0"/>
          <w:sz w:val="19"/>
        </w:rPr>
        <w:t>Daftar kontrol verifikasi mandiri bagi tim internal untuk memastikan terpenuhinya tanggung jawab pelanggan:</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No</w:t>
            </w:r>
          </w:p>
        </w:tc>
        <w:tc>
          <w:tcPr>
            <w:tcW w:type="dxa" w:w="4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Kontrol Kepatuhan Pelanggan</w:t>
            </w:r>
          </w:p>
        </w:tc>
        <w:tc>
          <w:tcPr>
            <w:tcW w:type="dxa" w:w="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Status</w:t>
            </w:r>
          </w:p>
        </w:tc>
        <w:tc>
          <w:tcPr>
            <w:tcW w:type="dxa" w:w="28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Bukti Objektif (Evidence)</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Memahami batasan Shared Responsibility Model pada setiap layanan cloud yang diadopsi.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Dokumen CSRM-001 terdistribusi &amp; ditandatangani.</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Menerapkan konfigurasi IAM berbasis prinsip Least Privilege dan menghapus akses berlebih.</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Laporan IAM Access Review kuartalan.</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Mengaktifkan Multi-Factor Authentication (MFA) untuk 100% akun konsol dan pengguna cloud.</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Enforced MFA policy screenshot di AWS/GCP.</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Mengaktifkan enkripsi data at-rest menggunakan algoritma AES-256 pada seluruh storage.</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Konfigurasi default KMS encryption pada S3 &amp; RDS.</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Mengaktifkan enkripsi data in-transit menggunakan protokol minimal TLS 1.3.</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Hasil evaluasi SSL Labs score A+.</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6</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Mengaktifkan audit logging komprehensif (CloudTrail / VPC Flow Logs) ke SIEM.</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Aliran log aktif di SIEM dengan retensi 365 hari.</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7</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Mengaktifkan automated backup harian dan replikasi snapshot basis data lintas region.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Konfigurasi backup retention policy aktif.</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8</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Melaksanakan simulasi uji pemulihan data (Restore Test) secara berkala minimal 2x setahun.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Laporan uji coba restore snapshot basis data.</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9</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Menerapkan automated patching dan pemindaian kerentanan pada OS dan container.</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Laporan Trivy image scan &amp; patch log mingguan.</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10</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Memblokir akses publik pada seluruh bucket penyimpanan internal (Block Public Access ON).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Status AWS S3 Block Public Access aktif 100%.</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11</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Melakukan review hak akses pengguna dan service account secara berkala setiap 3 bulan.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Notulen rapat review hak akses kuartalan.</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12</w:t>
            </w:r>
          </w:p>
        </w:tc>
        <w:tc>
          <w:tcPr>
            <w:tcW w:type="dxa" w:w="4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Memelihara kepatuhan arsitektur terhadap kontrol ISO/IEC 27001:2022 dan UU PDP No. 27/2022.</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28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Laporan audit internal ISMS tahunan.</w:t>
            </w:r>
          </w:p>
        </w:tc>
      </w:tr>
    </w:tbl>
    <w:p>
      <w:pPr>
        <w:spacing w:before="0" w:after="80"/>
      </w:pPr>
    </w:p>
    <w:p>
      <w:pPr>
        <w:keepNext/>
        <w:spacing w:before="280" w:after="80"/>
      </w:pPr>
      <w:r>
        <w:rPr>
          <w:rFonts w:ascii="Calibri" w:hAnsi="Calibri"/>
          <w:b/>
          <w:color w:val="1F3864"/>
          <w:sz w:val="26"/>
        </w:rPr>
        <w:t>11. Lembar Pengesahan &amp; Tanda Tangan Resmi</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Pengesahan</w:t>
            </w:r>
          </w:p>
        </w:tc>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Nama Pejabat</w:t>
            </w:r>
          </w:p>
        </w:tc>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Jabatan Struktural</w:t>
            </w:r>
          </w:p>
        </w:tc>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w:t>
            </w:r>
          </w:p>
        </w:tc>
        <w:tc>
          <w:tcPr>
            <w:tcW w:type="dxa" w:w="17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Tanda Tangan</w:t>
            </w:r>
          </w:p>
        </w:tc>
      </w:tr>
      <w:tr>
        <w:trPr>
          <w:cantSplit/>
        </w:trPr>
        <w:tc>
          <w:tcPr>
            <w:tcW w:type="dxa" w:w="1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Disusun Oleh</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Rian Hidayat, M.Kom., CISSP</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1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r>
      <w:tr>
        <w:trPr>
          <w:cantSplit/>
        </w:trPr>
        <w:tc>
          <w:tcPr>
            <w:tcW w:type="dxa" w:w="1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Ditinjau Oleh</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Dimas Arya, S.Kom.</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DevOps Lead</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1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r>
      <w:tr>
        <w:trPr>
          <w:cantSplit/>
        </w:trPr>
        <w:tc>
          <w:tcPr>
            <w:tcW w:type="dxa" w:w="1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Disetujui Oleh</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Budi Santoso, S.T., MBA</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1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r>
    </w:tbl>
    <w:p>
      <w:pPr>
        <w:spacing w:before="0" w:after="80"/>
      </w:pPr>
    </w:p>
    <w:p>
      <w:pPr>
        <w:keepNext/>
        <w:spacing w:before="280" w:after="80"/>
      </w:pPr>
      <w:r>
        <w:rPr>
          <w:rFonts w:ascii="Calibri" w:hAnsi="Calibri"/>
          <w:b/>
          <w:color w:val="1F3864"/>
          <w:sz w:val="26"/>
        </w:rPr>
        <w:t>12. Checklist Persiapan Penetration Testing (Pre-Pentest) auditsphere.app</w:t>
      </w:r>
    </w:p>
    <w:p>
      <w:pPr>
        <w:spacing w:before="0" w:after="60" w:line="276" w:lineRule="auto"/>
      </w:pPr>
      <w:r>
        <w:rPr>
          <w:rFonts w:ascii="Calibri" w:hAnsi="Calibri"/>
          <w:i w:val="0"/>
          <w:sz w:val="19"/>
        </w:rPr>
        <w:t>Checklist verifikasi kesiapan pengujian penetrasi keamanan pada aplikasi auditsphere.app selaras dengan prinsip shared responsibility:</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Domain Pengujian</w:t>
            </w:r>
          </w:p>
        </w:tc>
        <w:tc>
          <w:tcPr>
            <w:tcW w:type="dxa" w:w="43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Aktivitas Pre-Pentest auditsphere.app</w:t>
            </w:r>
          </w:p>
        </w:tc>
        <w:tc>
          <w:tcPr>
            <w:tcW w:type="dxa" w:w="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Status</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Nomor Bukti (Evidence ID)</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Legal &amp; RoE (A.5.31)</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Penandatanganan NDA formal dan penerbitan Surat Izin Pengetesan (LoA) resmi.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ORG-LoA-202610-CloudPentest-v1.pdf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Legal &amp; RoE (A.8.34)</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jadwal testing window dan batasan ruang lingkup target domain/API.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ORG-RoE-202610-ScopeAndWindow-v1.pdf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Kordinasi CSP (A.5.23)</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Pemberitahuan kepada CSP sesuai kebijakan Penetration Testing Policy vendor.</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ORG-CSPNotice-202610-AWSNotice-v1.pdf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Lingkungan Uji (A.8.31)</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Penyiapan staging environment terisolasi dari basis data produksi aktif.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TEC-EnvSegregation-202610-Staging-v1.pdf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Whitelisting (A.8.20)</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Whitelisting IP Address pengetes pada WAF Cloudflare / AWS WAF.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TEC-NetworkSec-202610-WAFWhitelist-v1.png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Snapshot Backup (A.8.13)</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Pelaksanaan Full Snapshot database RDS dan server sebelum uji pentest.</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TEC-BackupRestore-202610-PrePentest-v1.log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Sanitasi Data (UU PDP)</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Sanitasi dan masking seluruh data pribadi menjadi dummy data.</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TEC-DataMasking-202610-TestSanitized-v1.pdf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Logging Audit (A.8.15)</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Peningkatan level logging CloudTrail dan pengalihan audit trail ke SIEM.</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TEC-Logging-202610-CloudAuditTrail-v1.png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Tanggap Darurat (A.5.24)</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Penyusunan kontak darurat (DevOps &amp; Security) serta mekanisme Emergency Stop.</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ORG-IncidentPrep-202610-EscalationTree-v1.pdf</w:t>
            </w:r>
          </w:p>
        </w:tc>
      </w:tr>
    </w:tbl>
    <w:p>
      <w:pPr>
        <w:spacing w:before="0" w:after="80"/>
      </w:pPr>
    </w:p>
    <w:sectPr w:rsidR="00FC693F" w:rsidRPr="0006063C" w:rsidSect="00034616">
      <w:headerReference w:type="default" r:id="rId9"/>
      <w:pgSz w:w="11906" w:h="16838"/>
      <w:pgMar w:top="130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CSRM-001 · Cloud Shared Responsibility Matrix · v1.0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