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3864"/>
          <w:sz w:val="44"/>
        </w:rPr>
        <w:t>Advanced Security Operations &amp; Architecture Checklist</w:t>
      </w:r>
    </w:p>
    <w:p>
      <w:pPr>
        <w:spacing w:before="0" w:after="280"/>
      </w:pPr>
      <w:r>
        <w:rPr>
          <w:rFonts w:ascii="Calibri" w:hAnsi="Calibri"/>
          <w:b w:val="0"/>
          <w:color w:val="2E5597"/>
          <w:sz w:val="24"/>
        </w:rPr>
        <w:t>AuditSphere® — Bug Bounty, Forensic Readiness, Red/Purple Team, Threat Intelligence &amp; Zero Trust</w:t>
      </w:r>
    </w:p>
    <w:p>
      <w:pPr>
        <w:keepNext/>
        <w:spacing w:before="200" w:after="60"/>
      </w:pPr>
      <w:r>
        <w:rPr>
          <w:rFonts w:ascii="Calibri" w:hAnsi="Calibri"/>
          <w:b/>
          <w:color w:val="2E5597"/>
          <w:sz w:val="22"/>
        </w:rPr>
        <w:t>Document Control</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Field</w:t>
            </w:r>
          </w:p>
        </w:tc>
        <w:tc>
          <w:tcPr>
            <w:tcW w:type="dxa" w:w="6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Nilai</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Nomor Dokumen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ASC-003 (Ref: BBP-001, FRP-001, RTP-001, TIP-001, ZTAR-001)</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Judul</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Advanced Security Operations, Architecture &amp; Testing Governance Framework</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Versi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1.0</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Tanggal Berlaku</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Klasifikasi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Rahasia Internal</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Pemilik Dokumen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 &amp; Lead Security Architect</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Peninjau</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SOC Lead, Lead Pentester, Incident Response Lead, DPO, Legal Manager</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Penyetujui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VP of Engineering / CISO &amp; Direktur Utama</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Periode Review</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Minimal 1 tahun sekali atau setelah major security exercise / insiden signifikan</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Target Sistem</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Seluruh Infrastruktur, Endpoint, Jaringan, dan Platform AuditSphere® (Cloud &amp; On-Premise)</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Status Implementasi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Siap Diisi / Sedang Berjalan</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Standar Kepatuhan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ISO/IEC 27001:2022 (Annex A: A.5.5, A.5.6, A.5.7, A.5.24, A.5.26, A.5.28, A.5.31, A.5.34, A.5.35, A.8.8, A.8.15, A.8.16, A.8.20, A.8.22, A.8.29, A.8.31, A.8.34), ISO/IEC 29147, NIST SP 800-207, NIST SP 800-86, NIST SP 800-150, PTES &amp; MITRE ATT&amp;CK, UU PDP No. 27/2022</w:t>
            </w:r>
          </w:p>
        </w:tc>
      </w:tr>
    </w:tbl>
    <w:p>
      <w:pPr>
        <w:spacing w:before="0" w:after="80"/>
      </w:pPr>
    </w:p>
    <w:p>
      <w:pPr>
        <w:keepNext/>
        <w:spacing w:before="200" w:after="60"/>
      </w:pPr>
      <w:r>
        <w:rPr>
          <w:rFonts w:ascii="Calibri" w:hAnsi="Calibri"/>
          <w:b/>
          <w:color w:val="2E5597"/>
          <w:sz w:val="22"/>
        </w:rPr>
        <w:t>Riwayat Revisi</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Versi</w:t>
            </w:r>
          </w:p>
        </w:tc>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Tanggal</w:t>
            </w:r>
          </w:p>
        </w:tc>
        <w:tc>
          <w:tcPr>
            <w:tcW w:type="dxa" w:w="23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Oleh</w:t>
            </w:r>
          </w:p>
        </w:tc>
        <w:tc>
          <w:tcPr>
            <w:tcW w:type="dxa" w:w="41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Perubahan</w:t>
            </w:r>
          </w:p>
        </w:tc>
      </w:tr>
      <w:tr>
        <w:trPr>
          <w:cantSplit/>
        </w:trPr>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1.0</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 &amp; Security Architect</w:t>
            </w:r>
          </w:p>
        </w:tc>
        <w:tc>
          <w:tcPr>
            <w:tcW w:type="dxa" w:w="41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Rilis awal integrasi komprehensif 5 pilar Advanced Security: Bug Bounty Program (BBP-001), Forensic Readiness Procedure (FRP-001), Red/Purple Team Exercise Plan (RTP-001), Threat Intelligence Procedure (TIP-001), dan Zero Trust Architecture Roadmap (ZTAR-001).</w:t>
            </w:r>
          </w:p>
        </w:tc>
      </w:tr>
    </w:tbl>
    <w:p>
      <w:pPr>
        <w:spacing w:before="0" w:after="80"/>
      </w:pPr>
    </w:p>
    <w:p>
      <w:pPr>
        <w:spacing w:before="160" w:after="40"/>
      </w:pPr>
      <w:r>
        <w:rPr>
          <w:rFonts w:ascii="Calibri" w:hAnsi="Calibri"/>
          <w:b/>
          <w:color w:val="1F3864"/>
          <w:sz w:val="26"/>
        </w:rPr>
        <w:t>Daftar Isi</w:t>
      </w:r>
    </w:p>
    <w:p>
      <w:pPr>
        <w:spacing w:before="0" w:after="20"/>
      </w:pPr>
      <w:r>
        <w:rPr>
          <w:rFonts w:ascii="Calibri" w:hAnsi="Calibri"/>
          <w:b/>
          <w:color w:val="1F3864"/>
          <w:sz w:val="18"/>
        </w:rPr>
        <w:t>1. Tujuan</w:t>
      </w:r>
    </w:p>
    <w:p>
      <w:pPr>
        <w:spacing w:before="0" w:after="20"/>
      </w:pPr>
      <w:r>
        <w:rPr>
          <w:rFonts w:ascii="Calibri" w:hAnsi="Calibri"/>
          <w:b/>
          <w:color w:val="1F3864"/>
          <w:sz w:val="18"/>
        </w:rPr>
        <w:t>2. Ruang Lingkup</w:t>
      </w:r>
    </w:p>
    <w:p>
      <w:pPr>
        <w:spacing w:before="0" w:after="20"/>
      </w:pPr>
      <w:r>
        <w:rPr>
          <w:rFonts w:ascii="Calibri" w:hAnsi="Calibri"/>
          <w:b/>
          <w:color w:val="1F3864"/>
          <w:sz w:val="18"/>
        </w:rPr>
        <w:t>3. Cara Pengisian &amp; Metodologi Verifikasi</w:t>
      </w:r>
    </w:p>
    <w:p>
      <w:pPr>
        <w:spacing w:before="0" w:after="20"/>
      </w:pPr>
      <w:r>
        <w:rPr>
          <w:rFonts w:ascii="Calibri" w:hAnsi="Calibri"/>
          <w:sz w:val="18"/>
        </w:rPr>
        <w:t xml:space="preserve">    3.1 Definisi Status Kepatuhan</w:t>
      </w:r>
    </w:p>
    <w:p>
      <w:pPr>
        <w:spacing w:before="0" w:after="20"/>
      </w:pPr>
      <w:r>
        <w:rPr>
          <w:rFonts w:ascii="Calibri" w:hAnsi="Calibri"/>
          <w:sz w:val="18"/>
        </w:rPr>
        <w:t xml:space="preserve">    3.2 Metode Verifikasi</w:t>
      </w:r>
    </w:p>
    <w:p>
      <w:pPr>
        <w:spacing w:before="0" w:after="20"/>
      </w:pPr>
      <w:r>
        <w:rPr>
          <w:rFonts w:ascii="Calibri" w:hAnsi="Calibri"/>
          <w:sz w:val="18"/>
        </w:rPr>
        <w:t xml:space="preserve">    3.3 Cakupan Pengujian dan Evidence</w:t>
      </w:r>
    </w:p>
    <w:p>
      <w:pPr>
        <w:spacing w:before="0" w:after="20"/>
      </w:pPr>
      <w:r>
        <w:rPr>
          <w:rFonts w:ascii="Calibri" w:hAnsi="Calibri"/>
          <w:b/>
          <w:color w:val="1F3864"/>
          <w:sz w:val="18"/>
        </w:rPr>
        <w:t>4. Checklist Terpadu Advanced Security Operations (60 Kontrol Teknis)</w:t>
      </w:r>
    </w:p>
    <w:p>
      <w:pPr>
        <w:spacing w:before="0" w:after="20"/>
      </w:pPr>
      <w:r>
        <w:rPr>
          <w:rFonts w:ascii="Calibri" w:hAnsi="Calibri"/>
          <w:sz w:val="18"/>
        </w:rPr>
        <w:t xml:space="preserve">    4.1 Domain 1: Bug Bounty &amp; Vulnerability Disclosure (BBP-01 s/d BBP-12)</w:t>
      </w:r>
    </w:p>
    <w:p>
      <w:pPr>
        <w:spacing w:before="0" w:after="20"/>
      </w:pPr>
      <w:r>
        <w:rPr>
          <w:rFonts w:ascii="Calibri" w:hAnsi="Calibri"/>
          <w:sz w:val="18"/>
        </w:rPr>
        <w:t xml:space="preserve">    4.2 Domain 2: Forensic Readiness &amp; Chain of Custody (FRP-01 s/d FRP-12)</w:t>
      </w:r>
    </w:p>
    <w:p>
      <w:pPr>
        <w:spacing w:before="0" w:after="20"/>
      </w:pPr>
      <w:r>
        <w:rPr>
          <w:rFonts w:ascii="Calibri" w:hAnsi="Calibri"/>
          <w:sz w:val="18"/>
        </w:rPr>
        <w:t xml:space="preserve">    4.3 Domain 3: Red Team &amp; Purple Team Adversary Testing (RTP-01 s/d RTP-12)</w:t>
      </w:r>
    </w:p>
    <w:p>
      <w:pPr>
        <w:spacing w:before="0" w:after="20"/>
      </w:pPr>
      <w:r>
        <w:rPr>
          <w:rFonts w:ascii="Calibri" w:hAnsi="Calibri"/>
          <w:sz w:val="18"/>
        </w:rPr>
        <w:t xml:space="preserve">    4.4 Domain 4: Cyber Threat Intelligence &amp; Sharing (TIP-01 s/d TIP-12)</w:t>
      </w:r>
    </w:p>
    <w:p>
      <w:pPr>
        <w:spacing w:before="0" w:after="20"/>
      </w:pPr>
      <w:r>
        <w:rPr>
          <w:rFonts w:ascii="Calibri" w:hAnsi="Calibri"/>
          <w:sz w:val="18"/>
        </w:rPr>
        <w:t xml:space="preserve">    4.5 Domain 5: Zero Trust Architecture &amp; Continuous Verification (ZTA-01 s/d ZTA-12)</w:t>
      </w:r>
    </w:p>
    <w:p>
      <w:pPr>
        <w:spacing w:before="0" w:after="20"/>
      </w:pPr>
      <w:r>
        <w:rPr>
          <w:rFonts w:ascii="Calibri" w:hAnsi="Calibri"/>
          <w:b/>
          <w:color w:val="1F3864"/>
          <w:sz w:val="18"/>
        </w:rPr>
        <w:t>5. Kebijakan &amp; Tata Kelola Bug Bounty Program (BBP-001)</w:t>
      </w:r>
    </w:p>
    <w:p>
      <w:pPr>
        <w:spacing w:before="0" w:after="20"/>
      </w:pPr>
      <w:r>
        <w:rPr>
          <w:rFonts w:ascii="Calibri" w:hAnsi="Calibri"/>
          <w:sz w:val="18"/>
        </w:rPr>
        <w:t xml:space="preserve">    5.1 Struktur Platform &amp; Rules of Engagement</w:t>
      </w:r>
    </w:p>
    <w:p>
      <w:pPr>
        <w:spacing w:before="0" w:after="20"/>
      </w:pPr>
      <w:r>
        <w:rPr>
          <w:rFonts w:ascii="Calibri" w:hAnsi="Calibri"/>
          <w:sz w:val="18"/>
        </w:rPr>
        <w:t xml:space="preserve">    5.2 Matriks Klasifikasi Kerentanan &amp; Skema Reward</w:t>
      </w:r>
    </w:p>
    <w:p>
      <w:pPr>
        <w:spacing w:before="0" w:after="20"/>
      </w:pPr>
      <w:r>
        <w:rPr>
          <w:rFonts w:ascii="Calibri" w:hAnsi="Calibri"/>
          <w:sz w:val="18"/>
        </w:rPr>
        <w:t xml:space="preserve">    5.3 Prosedur Triage, Remediasi &amp; Safe Harbor</w:t>
      </w:r>
    </w:p>
    <w:p>
      <w:pPr>
        <w:spacing w:before="0" w:after="20"/>
      </w:pPr>
      <w:r>
        <w:rPr>
          <w:rFonts w:ascii="Calibri" w:hAnsi="Calibri"/>
          <w:b/>
          <w:color w:val="1F3864"/>
          <w:sz w:val="18"/>
        </w:rPr>
        <w:t>6. Prosedur Kesiapan Forensik Digital (Forensic Readiness Procedure - FRP-001)</w:t>
      </w:r>
    </w:p>
    <w:p>
      <w:pPr>
        <w:spacing w:before="0" w:after="20"/>
      </w:pPr>
      <w:r>
        <w:rPr>
          <w:rFonts w:ascii="Calibri" w:hAnsi="Calibri"/>
          <w:sz w:val="18"/>
        </w:rPr>
        <w:t xml:space="preserve">    6.1 Empat Pilar Kesiapan Forensik (People, Process, Technology, Facility)</w:t>
      </w:r>
    </w:p>
    <w:p>
      <w:pPr>
        <w:spacing w:before="0" w:after="20"/>
      </w:pPr>
      <w:r>
        <w:rPr>
          <w:rFonts w:ascii="Calibri" w:hAnsi="Calibri"/>
          <w:sz w:val="18"/>
        </w:rPr>
        <w:t xml:space="preserve">    6.2 Alur 8 Tahap Penanganan Bukti Digital</w:t>
      </w:r>
    </w:p>
    <w:p>
      <w:pPr>
        <w:spacing w:before="0" w:after="20"/>
      </w:pPr>
      <w:r>
        <w:rPr>
          <w:rFonts w:ascii="Calibri" w:hAnsi="Calibri"/>
          <w:sz w:val="18"/>
        </w:rPr>
        <w:t xml:space="preserve">    6.3 Urutan Volatilitas (Order of Volatility) &amp; Form Chain of Custody</w:t>
      </w:r>
    </w:p>
    <w:p>
      <w:pPr>
        <w:spacing w:before="0" w:after="20"/>
      </w:pPr>
      <w:r>
        <w:rPr>
          <w:rFonts w:ascii="Calibri" w:hAnsi="Calibri"/>
          <w:b/>
          <w:color w:val="1F3864"/>
          <w:sz w:val="18"/>
        </w:rPr>
        <w:t>7. Rencana Pengujian Red Team &amp; Purple Team (RTP-001)</w:t>
      </w:r>
    </w:p>
    <w:p>
      <w:pPr>
        <w:spacing w:before="0" w:after="20"/>
      </w:pPr>
      <w:r>
        <w:rPr>
          <w:rFonts w:ascii="Calibri" w:hAnsi="Calibri"/>
          <w:sz w:val="18"/>
        </w:rPr>
        <w:t xml:space="preserve">    7.1 Struktur Tim (Red, Blue, White) &amp; Rules of Engagement</w:t>
      </w:r>
    </w:p>
    <w:p>
      <w:pPr>
        <w:spacing w:before="0" w:after="20"/>
      </w:pPr>
      <w:r>
        <w:rPr>
          <w:rFonts w:ascii="Calibri" w:hAnsi="Calibri"/>
          <w:sz w:val="18"/>
        </w:rPr>
        <w:t xml:space="preserve">    7.2 Metodologi Serangan Berbasis MITRE ATT&amp;CK</w:t>
      </w:r>
    </w:p>
    <w:p>
      <w:pPr>
        <w:spacing w:before="0" w:after="20"/>
      </w:pPr>
      <w:r>
        <w:rPr>
          <w:rFonts w:ascii="Calibri" w:hAnsi="Calibri"/>
          <w:sz w:val="18"/>
        </w:rPr>
        <w:t xml:space="preserve">    7.3 Alur Kolaboratif Purple Team &amp; Remediation SLA</w:t>
      </w:r>
    </w:p>
    <w:p>
      <w:pPr>
        <w:spacing w:before="0" w:after="20"/>
      </w:pPr>
      <w:r>
        <w:rPr>
          <w:rFonts w:ascii="Calibri" w:hAnsi="Calibri"/>
          <w:b/>
          <w:color w:val="1F3864"/>
          <w:sz w:val="18"/>
        </w:rPr>
        <w:t>8. Prosedur Intelijen Ancaman Siber (Threat Intelligence Procedure - TIP-001)</w:t>
      </w:r>
    </w:p>
    <w:p>
      <w:pPr>
        <w:spacing w:before="0" w:after="20"/>
      </w:pPr>
      <w:r>
        <w:rPr>
          <w:rFonts w:ascii="Calibri" w:hAnsi="Calibri"/>
          <w:sz w:val="18"/>
        </w:rPr>
        <w:t xml:space="preserve">    8.1 Empat Tingkatan CTI (Strategic, Operational, Tactical, Technical)</w:t>
      </w:r>
    </w:p>
    <w:p>
      <w:pPr>
        <w:spacing w:before="0" w:after="20"/>
      </w:pPr>
      <w:r>
        <w:rPr>
          <w:rFonts w:ascii="Calibri" w:hAnsi="Calibri"/>
          <w:sz w:val="18"/>
        </w:rPr>
        <w:t xml:space="preserve">    8.2 Siklus 7 Tahap Intelijen Ancaman (Intelligence Lifecycle)</w:t>
      </w:r>
    </w:p>
    <w:p>
      <w:pPr>
        <w:spacing w:before="0" w:after="20"/>
      </w:pPr>
      <w:r>
        <w:rPr>
          <w:rFonts w:ascii="Calibri" w:hAnsi="Calibri"/>
          <w:sz w:val="18"/>
        </w:rPr>
        <w:t xml:space="preserve">    8.3 Integrasi TIP (MISP, OpenCTI) &amp; Distribusi IoC</w:t>
      </w:r>
    </w:p>
    <w:p>
      <w:pPr>
        <w:spacing w:before="0" w:after="20"/>
      </w:pPr>
      <w:r>
        <w:rPr>
          <w:rFonts w:ascii="Calibri" w:hAnsi="Calibri"/>
          <w:b/>
          <w:color w:val="1F3864"/>
          <w:sz w:val="18"/>
        </w:rPr>
        <w:t>9. Roadmap Arsitektur Zero Trust 3 Tahun (ZTAR-001)</w:t>
      </w:r>
    </w:p>
    <w:p>
      <w:pPr>
        <w:spacing w:before="0" w:after="20"/>
      </w:pPr>
      <w:r>
        <w:rPr>
          <w:rFonts w:ascii="Calibri" w:hAnsi="Calibri"/>
          <w:sz w:val="18"/>
        </w:rPr>
        <w:t xml:space="preserve">    9.1 Tujuh Pilar Zero Trust (CISA &amp; NIST SP 800-207)</w:t>
      </w:r>
    </w:p>
    <w:p>
      <w:pPr>
        <w:spacing w:before="0" w:after="20"/>
      </w:pPr>
      <w:r>
        <w:rPr>
          <w:rFonts w:ascii="Calibri" w:hAnsi="Calibri"/>
          <w:sz w:val="18"/>
        </w:rPr>
        <w:t xml:space="preserve">    9.2 Model Kematangan (Maturity Model Level 1-4)</w:t>
      </w:r>
    </w:p>
    <w:p>
      <w:pPr>
        <w:spacing w:before="0" w:after="20"/>
      </w:pPr>
      <w:r>
        <w:rPr>
          <w:rFonts w:ascii="Calibri" w:hAnsi="Calibri"/>
          <w:sz w:val="18"/>
        </w:rPr>
        <w:t xml:space="preserve">    9.3 Roadmap Implementasi 3 Tahun (Foundation, Advanced, Optimization)</w:t>
      </w:r>
    </w:p>
    <w:p>
      <w:pPr>
        <w:spacing w:before="0" w:after="20"/>
      </w:pPr>
      <w:r>
        <w:rPr>
          <w:rFonts w:ascii="Calibri" w:hAnsi="Calibri"/>
          <w:b/>
          <w:color w:val="1F3864"/>
          <w:sz w:val="18"/>
        </w:rPr>
        <w:t>10. Tindak Lanjut Non-Conformity</w:t>
      </w:r>
    </w:p>
    <w:p>
      <w:pPr>
        <w:spacing w:before="0" w:after="20"/>
      </w:pPr>
      <w:r>
        <w:rPr>
          <w:rFonts w:ascii="Calibri" w:hAnsi="Calibri"/>
          <w:b/>
          <w:color w:val="1F3864"/>
          <w:sz w:val="18"/>
        </w:rPr>
        <w:t>11. Ringkasan Kepatuhan &amp; Matriks Sasaran KPI</w:t>
      </w:r>
    </w:p>
    <w:p>
      <w:pPr>
        <w:spacing w:before="0" w:after="20"/>
      </w:pPr>
      <w:r>
        <w:rPr>
          <w:rFonts w:ascii="Calibri" w:hAnsi="Calibri"/>
          <w:b/>
          <w:color w:val="1F3864"/>
          <w:sz w:val="18"/>
        </w:rPr>
        <w:t>12. Sign-Off &amp; Pengesahan Resmi</w:t>
      </w:r>
    </w:p>
    <w:p>
      <w:pPr>
        <w:spacing w:before="0" w:after="20"/>
      </w:pPr>
      <w:r>
        <w:rPr>
          <w:rFonts w:ascii="Calibri" w:hAnsi="Calibri"/>
          <w:b/>
          <w:color w:val="1F3864"/>
          <w:sz w:val="18"/>
        </w:rPr>
        <w:t>13. Referensi Standar &amp; Regulasi</w:t>
      </w:r>
    </w:p>
    <w:p>
      <w:pPr>
        <w:spacing w:before="0" w:after="20"/>
      </w:pPr>
      <w:r>
        <w:rPr>
          <w:rFonts w:ascii="Calibri" w:hAnsi="Calibri"/>
          <w:b/>
          <w:color w:val="1F3864"/>
          <w:sz w:val="18"/>
        </w:rPr>
        <w:t>Lampiran A — Matriks Alokasi Reward &amp; SLA Bug Bounty Program</w:t>
      </w:r>
    </w:p>
    <w:p>
      <w:pPr>
        <w:spacing w:before="0" w:after="20"/>
      </w:pPr>
      <w:r>
        <w:rPr>
          <w:rFonts w:ascii="Calibri" w:hAnsi="Calibri"/>
          <w:b/>
          <w:color w:val="1F3864"/>
          <w:sz w:val="18"/>
        </w:rPr>
        <w:t>Lampiran B — Formulir Rantai Penjagaan Bukti (Chain of Custody Form)</w:t>
      </w:r>
    </w:p>
    <w:p>
      <w:pPr>
        <w:spacing w:before="0" w:after="20"/>
      </w:pPr>
      <w:r>
        <w:rPr>
          <w:rFonts w:ascii="Calibri" w:hAnsi="Calibri"/>
          <w:b/>
          <w:color w:val="1F3864"/>
          <w:sz w:val="18"/>
        </w:rPr>
        <w:t>Lampiran C — Matriks Pemetaan TTP MITRE ATT&amp;CK &amp; Rules of Engagement</w:t>
      </w:r>
    </w:p>
    <w:p>
      <w:pPr>
        <w:spacing w:before="0" w:after="20"/>
      </w:pPr>
      <w:r>
        <w:rPr>
          <w:rFonts w:ascii="Calibri" w:hAnsi="Calibri"/>
          <w:b/>
          <w:color w:val="1F3864"/>
          <w:sz w:val="18"/>
        </w:rPr>
        <w:t>Lampiran D — Indikator Ancaman (IoC) &amp; Integrasi Threat Intelligence Platform (TIP)</w:t>
      </w:r>
    </w:p>
    <w:p>
      <w:pPr>
        <w:spacing w:before="0" w:after="20"/>
      </w:pPr>
      <w:r>
        <w:rPr>
          <w:rFonts w:ascii="Calibri" w:hAnsi="Calibri"/>
          <w:b/>
          <w:color w:val="1F3864"/>
          <w:sz w:val="18"/>
        </w:rPr>
        <w:t>Lampiran E — Pre-Pentest Checklist Terpadu auditsphere.app (ISO/IEC 27001 &amp; UU PDP)</w:t>
      </w:r>
    </w:p>
    <w:p>
      <w:pPr>
        <w:keepNext/>
        <w:spacing w:before="280" w:after="80"/>
      </w:pPr>
      <w:r>
        <w:rPr>
          <w:rFonts w:ascii="Calibri" w:hAnsi="Calibri"/>
          <w:b/>
          <w:color w:val="1F3864"/>
          <w:sz w:val="26"/>
        </w:rPr>
        <w:t>1. Tujuan</w:t>
      </w:r>
    </w:p>
    <w:p>
      <w:pPr>
        <w:spacing w:before="0" w:after="60" w:line="276" w:lineRule="auto"/>
      </w:pPr>
      <w:r>
        <w:rPr>
          <w:rFonts w:ascii="Calibri" w:hAnsi="Calibri"/>
          <w:i w:val="0"/>
          <w:sz w:val="19"/>
        </w:rPr>
        <w:t>Dokumen ini menetapkan baseline keamanan terintegrasi dan kerangka kerja operasional tingkat lanjut (Advanced Security Operations &amp; Architecture Framework) di lingkungan PT Bina Audita Indonesia dan platform AuditSphere®.</w:t>
      </w:r>
    </w:p>
    <w:p>
      <w:pPr>
        <w:spacing w:before="0" w:after="60" w:line="276" w:lineRule="auto"/>
      </w:pPr>
      <w:r>
        <w:rPr>
          <w:rFonts w:ascii="Calibri" w:hAnsi="Calibri"/>
          <w:i w:val="0"/>
          <w:sz w:val="19"/>
        </w:rPr>
        <w:t>Integrasi 5 pilar keamanan mutakhir ini bertujuan untuk:</w:t>
      </w:r>
    </w:p>
    <w:p>
      <w:pPr>
        <w:pStyle w:val="ListBullet"/>
        <w:spacing w:before="0" w:after="40" w:line="276" w:lineRule="auto"/>
      </w:pPr>
      <w:r>
        <w:rPr>
          <w:rFonts w:ascii="Calibri" w:hAnsi="Calibri"/>
          <w:b/>
          <w:sz w:val="19"/>
        </w:rPr>
        <w:t xml:space="preserve">1. Bug Bounty Program: </w:t>
      </w:r>
      <w:r>
        <w:rPr>
          <w:rFonts w:ascii="Calibri" w:hAnsi="Calibri"/>
          <w:sz w:val="19"/>
        </w:rPr>
        <w:t>Memfasilitasi pelaporan kerentanan eksternal secara aman dan bertanggung jawab melalui program Bug Bounty resmi.</w:t>
      </w:r>
    </w:p>
    <w:p>
      <w:pPr>
        <w:pStyle w:val="ListBullet"/>
        <w:spacing w:before="0" w:after="40" w:line="276" w:lineRule="auto"/>
      </w:pPr>
      <w:r>
        <w:rPr>
          <w:rFonts w:ascii="Calibri" w:hAnsi="Calibri"/>
          <w:b/>
          <w:sz w:val="19"/>
        </w:rPr>
        <w:t xml:space="preserve">2. Kesiapan Forensik Digital: </w:t>
      </w:r>
      <w:r>
        <w:rPr>
          <w:rFonts w:ascii="Calibri" w:hAnsi="Calibri"/>
          <w:sz w:val="19"/>
        </w:rPr>
        <w:t>Menjamin kesiapan pengumpulan bukti digital yang sah (admissible in court) dan pemeliharaan Chain of Custody saat terjadi insiden keamanan.</w:t>
      </w:r>
    </w:p>
    <w:p>
      <w:pPr>
        <w:pStyle w:val="ListBullet"/>
        <w:spacing w:before="0" w:after="40" w:line="276" w:lineRule="auto"/>
      </w:pPr>
      <w:r>
        <w:rPr>
          <w:rFonts w:ascii="Calibri" w:hAnsi="Calibri"/>
          <w:b/>
          <w:sz w:val="19"/>
        </w:rPr>
        <w:t xml:space="preserve">3. Adversarial Testing &amp; Exercises: </w:t>
      </w:r>
      <w:r>
        <w:rPr>
          <w:rFonts w:ascii="Calibri" w:hAnsi="Calibri"/>
          <w:sz w:val="19"/>
        </w:rPr>
        <w:t>Menguji efektivitas deteksi dan respons keamanan melalui simulasi serangan nyata (Red Team) dan kolaborasi perbaikan (Purple Team).</w:t>
      </w:r>
    </w:p>
    <w:p>
      <w:pPr>
        <w:pStyle w:val="ListBullet"/>
        <w:spacing w:before="0" w:after="40" w:line="276" w:lineRule="auto"/>
      </w:pPr>
      <w:r>
        <w:rPr>
          <w:rFonts w:ascii="Calibri" w:hAnsi="Calibri"/>
          <w:b/>
          <w:sz w:val="19"/>
        </w:rPr>
        <w:t xml:space="preserve">4. Cyber Threat Intelligence: </w:t>
      </w:r>
      <w:r>
        <w:rPr>
          <w:rFonts w:ascii="Calibri" w:hAnsi="Calibri"/>
          <w:sz w:val="19"/>
        </w:rPr>
        <w:t>Mengumpulkan, menganalisis, dan mendistribusikan intelijen ancaman siber (CTI) untuk memperkuat pertahanan proaktif.</w:t>
      </w:r>
    </w:p>
    <w:p>
      <w:pPr>
        <w:pStyle w:val="ListBullet"/>
        <w:spacing w:before="0" w:after="40" w:line="276" w:lineRule="auto"/>
      </w:pPr>
      <w:r>
        <w:rPr>
          <w:rFonts w:ascii="Calibri" w:hAnsi="Calibri"/>
          <w:b/>
          <w:sz w:val="19"/>
        </w:rPr>
        <w:t xml:space="preserve">5. Zero Trust Architecture Roadmap: </w:t>
      </w:r>
      <w:r>
        <w:rPr>
          <w:rFonts w:ascii="Calibri" w:hAnsi="Calibri"/>
          <w:sz w:val="19"/>
        </w:rPr>
        <w:t>Mentransformasi arsitektur keamanan menuju model Zero Trust (Never Trust, Always Verify) dalam rencana strategis 3 tahun.</w:t>
      </w:r>
    </w:p>
    <w:p>
      <w:pPr>
        <w:pStyle w:val="ListBullet"/>
        <w:spacing w:before="0" w:after="40" w:line="276" w:lineRule="auto"/>
      </w:pPr>
      <w:r>
        <w:rPr>
          <w:rFonts w:ascii="Calibri" w:hAnsi="Calibri"/>
          <w:b/>
          <w:sz w:val="19"/>
        </w:rPr>
        <w:t xml:space="preserve">6. Kepatuhan Audit Regulasi: </w:t>
      </w:r>
      <w:r>
        <w:rPr>
          <w:rFonts w:ascii="Calibri" w:hAnsi="Calibri"/>
          <w:sz w:val="19"/>
        </w:rPr>
        <w:t>Menyediakan bukti kepatuhan objektif terhadap kontrol ISO/IEC 27001:2022 (A.5.5, A.5.7, A.5.24, A.5.28, A.8.8, A.8.20, A.8.22, A.8.29, A.8.34) serta UU PDP No. 27/2022.</w:t>
      </w:r>
    </w:p>
    <w:p>
      <w:pPr>
        <w:keepNext/>
        <w:spacing w:before="280" w:after="80"/>
      </w:pPr>
      <w:r>
        <w:rPr>
          <w:rFonts w:ascii="Calibri" w:hAnsi="Calibri"/>
          <w:b/>
          <w:color w:val="1F3864"/>
          <w:sz w:val="26"/>
        </w:rPr>
        <w:t>2. Ruang Lingkup</w:t>
      </w:r>
    </w:p>
    <w:p>
      <w:pPr>
        <w:spacing w:before="0" w:after="60" w:line="276" w:lineRule="auto"/>
      </w:pPr>
      <w:r>
        <w:rPr>
          <w:rFonts w:ascii="Calibri" w:hAnsi="Calibri"/>
          <w:i w:val="0"/>
          <w:sz w:val="19"/>
        </w:rPr>
        <w:t>Ruang lingkup dokumen ini mencakup seluruh ekosistem teknologi, operasional pengujian, serta tata kelola data PT Bina Audita Indonesia, meliputi:</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2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Pilar / Domain Keamanan</w:t>
            </w:r>
          </w:p>
        </w:tc>
        <w:tc>
          <w:tcPr>
            <w:tcW w:type="dxa" w:w="62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Cakupan &amp; Komponen yang Diatur</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Bug Bounty Program (BBP)</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Domain publik *.auditsphere.id, api.auditsphere.id, aplikasi mobile iOS/Android, aturan safe harbor, platform triage, dan mitigasi.</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Forensic Readiness (FRP)</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Seluruh server aplikasi (cloud &amp; on-premise), database PostgreSQL, endpoint karyawan, capture paket jaringan, repositori log terpusat, dan forensic lab.</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Red/Purple Team (RTP)</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Infrastruktur cloud/on-premise, endpoint, API, database, personel (social engineering test), fasilitas fisik (in-scope), simulasi taktik MITRE ATT&amp;CK.</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Threat Intelligence (TIP)</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Pengumpulan log SIEM/EDR internal, feed komersial &amp; open-source CTI (MISP, AlienVault OTX), korelasi IoC, dan diseminasi proteksi WAF/Firewall.</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Zero Trust Architecture (ZTA)</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7 Pilar CISA/NIST SP 800-207: Identitas (IAM/SSO/MFA), Perangkat (MDM/EDR), Jaringan (Mikrosegmentasi), Aplikasi, Data (DLP), Visibilitas, dan Otomasi (SOAR).</w:t>
            </w:r>
          </w:p>
        </w:tc>
      </w:tr>
    </w:tbl>
    <w:p>
      <w:pPr>
        <w:spacing w:before="0" w:after="80"/>
      </w:pPr>
    </w:p>
    <w:p>
      <w:pPr>
        <w:keepNext/>
        <w:spacing w:before="280" w:after="80"/>
      </w:pPr>
      <w:r>
        <w:rPr>
          <w:rFonts w:ascii="Calibri" w:hAnsi="Calibri"/>
          <w:b/>
          <w:color w:val="1F3864"/>
          <w:sz w:val="26"/>
        </w:rPr>
        <w:t>3. Cara Pengisian &amp; Metodologi Verifikasi</w:t>
      </w:r>
    </w:p>
    <w:p>
      <w:pPr>
        <w:keepNext/>
        <w:spacing w:before="200" w:after="60"/>
      </w:pPr>
      <w:r>
        <w:rPr>
          <w:rFonts w:ascii="Calibri" w:hAnsi="Calibri"/>
          <w:b/>
          <w:color w:val="2E5597"/>
          <w:sz w:val="22"/>
        </w:rPr>
        <w:t>3.1 Definisi Status Kepatuhan</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13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Status</w:t>
            </w:r>
          </w:p>
        </w:tc>
        <w:tc>
          <w:tcPr>
            <w:tcW w:type="dxa" w:w="77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Definisi &amp; Ketentuan Tindak Lanjut</w:t>
            </w:r>
          </w:p>
        </w:tc>
      </w:tr>
      <w:tr>
        <w:trPr>
          <w:cantSplit/>
        </w:trPr>
        <w:tc>
          <w:tcPr>
            <w:tcW w:type="dxa" w:w="13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w:t>
            </w:r>
          </w:p>
        </w:tc>
        <w:tc>
          <w:tcPr>
            <w:tcW w:type="dxa" w:w="7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Conform — Kontrol diterapkan secara penuh, operasional efektif, dan terbukti dengan evidence valid.</w:t>
            </w:r>
          </w:p>
        </w:tc>
      </w:tr>
      <w:tr>
        <w:trPr>
          <w:cantSplit/>
        </w:trPr>
        <w:tc>
          <w:tcPr>
            <w:tcW w:type="dxa" w:w="13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NC</w:t>
            </w:r>
          </w:p>
        </w:tc>
        <w:tc>
          <w:tcPr>
            <w:tcW w:type="dxa" w:w="7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Non-Conform — Kontrol tidak diterapkan atau terdapat celah kegagalan. Wajib dicatat di Bagian 10 (Tindak Lanjut Non-Conformity).</w:t>
            </w:r>
          </w:p>
        </w:tc>
      </w:tr>
      <w:tr>
        <w:trPr>
          <w:cantSplit/>
        </w:trPr>
        <w:tc>
          <w:tcPr>
            <w:tcW w:type="dxa" w:w="13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OFI</w:t>
            </w:r>
          </w:p>
        </w:tc>
        <w:tc>
          <w:tcPr>
            <w:tcW w:type="dxa" w:w="7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Opportunity for Improvement — Kontrol telah diterapkan namun dapat dioptimalkan lebih lanjut.</w:t>
            </w:r>
          </w:p>
        </w:tc>
      </w:tr>
      <w:tr>
        <w:trPr>
          <w:cantSplit/>
        </w:trPr>
        <w:tc>
          <w:tcPr>
            <w:tcW w:type="dxa" w:w="13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N/A</w:t>
            </w:r>
          </w:p>
        </w:tc>
        <w:tc>
          <w:tcPr>
            <w:tcW w:type="dxa" w:w="7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Not Applicable — Kontrol tidak relevan dengan arsitektur saat ini (wajib disertai catatan alasan tertulis).</w:t>
            </w:r>
          </w:p>
        </w:tc>
      </w:tr>
    </w:tbl>
    <w:p>
      <w:pPr>
        <w:spacing w:before="0" w:after="80"/>
      </w:pPr>
    </w:p>
    <w:p>
      <w:pPr>
        <w:keepNext/>
        <w:spacing w:before="200" w:after="60"/>
      </w:pPr>
      <w:r>
        <w:rPr>
          <w:rFonts w:ascii="Calibri" w:hAnsi="Calibri"/>
          <w:b/>
          <w:color w:val="2E5597"/>
          <w:sz w:val="22"/>
        </w:rPr>
        <w:t>3.2 Metode Verifikasi</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1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Kode</w:t>
            </w:r>
          </w:p>
        </w:tc>
        <w:tc>
          <w:tcPr>
            <w:tcW w:type="dxa" w:w="3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Metode Verifikasi</w:t>
            </w:r>
          </w:p>
        </w:tc>
        <w:tc>
          <w:tcPr>
            <w:tcW w:type="dxa" w:w="50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Bentuk Bukti Objektif (Evidence)</w:t>
            </w:r>
          </w:p>
        </w:tc>
      </w:tr>
      <w:tr>
        <w:trPr>
          <w:cantSplit/>
        </w:trPr>
        <w:tc>
          <w:tcPr>
            <w:tcW w:type="dxa" w:w="1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Review Dokumen / Desain</w:t>
            </w:r>
          </w:p>
        </w:tc>
        <w:tc>
          <w:tcPr>
            <w:tcW w:type="dxa" w:w="5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Kebijakan tertulis, SOP, diagram arsitektur, NDA, Rules of Engagement (RoE), form Chain of Custody.</w:t>
            </w:r>
          </w:p>
        </w:tc>
      </w:tr>
      <w:tr>
        <w:trPr>
          <w:cantSplit/>
        </w:trPr>
        <w:tc>
          <w:tcPr>
            <w:tcW w:type="dxa" w:w="1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Review Konfigurasi &amp; Tool</w:t>
            </w:r>
          </w:p>
        </w:tc>
        <w:tc>
          <w:tcPr>
            <w:tcW w:type="dxa" w:w="5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Konfigurasi SIEM, rule firewall/WAF, setup platform bug bounty, konfigurasi EDR/MDM, policy IAM/PDP.</w:t>
            </w:r>
          </w:p>
        </w:tc>
      </w:tr>
      <w:tr>
        <w:trPr>
          <w:cantSplit/>
        </w:trPr>
        <w:tc>
          <w:tcPr>
            <w:tcW w:type="dxa" w:w="1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O</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Uji Otomatis (Monitoring/Scanner)</w:t>
            </w:r>
          </w:p>
        </w:tc>
        <w:tc>
          <w:tcPr>
            <w:tcW w:type="dxa" w:w="5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Log korelasi SIEM, feed otomatis MISP, scanning dependensi Trivy/Snyk, alerting otomatis EDR.</w:t>
            </w:r>
          </w:p>
        </w:tc>
      </w:tr>
      <w:tr>
        <w:trPr>
          <w:cantSplit/>
        </w:trPr>
        <w:tc>
          <w:tcPr>
            <w:tcW w:type="dxa" w:w="1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M</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Uji Manual (Exercise / Adversarial)</w:t>
            </w:r>
          </w:p>
        </w:tc>
        <w:tc>
          <w:tcPr>
            <w:tcW w:type="dxa" w:w="5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Laporan penetrasi Red Team, rekonstruksi forensik memory dump, simulasi tabletop Purple Team, verifikasi PoC.</w:t>
            </w:r>
          </w:p>
        </w:tc>
      </w:tr>
    </w:tbl>
    <w:p>
      <w:pPr>
        <w:spacing w:before="0" w:after="80"/>
      </w:pPr>
    </w:p>
    <w:p>
      <w:pPr>
        <w:keepNext/>
        <w:spacing w:before="200" w:after="60"/>
      </w:pPr>
      <w:r>
        <w:rPr>
          <w:rFonts w:ascii="Calibri" w:hAnsi="Calibri"/>
          <w:b/>
          <w:color w:val="2E5597"/>
          <w:sz w:val="22"/>
        </w:rPr>
        <w:t>3.3 Cakupan Pengujian dan Evidence</w:t>
      </w:r>
    </w:p>
    <w:p>
      <w:pPr>
        <w:pStyle w:val="ListBullet"/>
        <w:spacing w:before="0" w:after="40" w:line="276" w:lineRule="auto"/>
      </w:pPr>
      <w:r>
        <w:rPr>
          <w:rFonts w:ascii="Calibri" w:hAnsi="Calibri"/>
          <w:b/>
          <w:sz w:val="19"/>
        </w:rPr>
        <w:t xml:space="preserve">Kodefikasi Evidence: </w:t>
      </w:r>
      <w:r>
        <w:rPr>
          <w:rFonts w:ascii="Calibri" w:hAnsi="Calibri"/>
          <w:sz w:val="19"/>
        </w:rPr>
        <w:t>Setiap temuan atau pengujian wajib didokumentasikan dengan kode referensi evidence unik berformat EV-ADV-[PILAR]-[NO] (contoh: EV-ADV-BBP-01, EV-ADV-FRP-05).</w:t>
      </w:r>
    </w:p>
    <w:p>
      <w:pPr>
        <w:pStyle w:val="ListBullet"/>
        <w:spacing w:before="0" w:after="40" w:line="276" w:lineRule="auto"/>
      </w:pPr>
      <w:r>
        <w:rPr>
          <w:rFonts w:ascii="Calibri" w:hAnsi="Calibri"/>
          <w:b/>
          <w:sz w:val="19"/>
        </w:rPr>
        <w:t xml:space="preserve">Penyimpanan Terpusat: </w:t>
      </w:r>
      <w:r>
        <w:rPr>
          <w:rFonts w:ascii="Calibri" w:hAnsi="Calibri"/>
          <w:sz w:val="19"/>
        </w:rPr>
        <w:t>Seluruh rekaman bukti teknis wajib disimpan dalam format folder terstandar (02. ORG, 03. PPL, 05. TEC, 06. OPS) sesuai panduan Audit Readiness Toolkit.</w:t>
      </w:r>
    </w:p>
    <w:p>
      <w:pPr>
        <w:pStyle w:val="ListBullet"/>
        <w:spacing w:before="0" w:after="40" w:line="276" w:lineRule="auto"/>
      </w:pPr>
      <w:r>
        <w:rPr>
          <w:rFonts w:ascii="Calibri" w:hAnsi="Calibri"/>
          <w:b/>
          <w:sz w:val="19"/>
        </w:rPr>
        <w:t xml:space="preserve">Sanitasi Kerahasiaan: </w:t>
      </w:r>
      <w:r>
        <w:rPr>
          <w:rFonts w:ascii="Calibri" w:hAnsi="Calibri"/>
          <w:sz w:val="19"/>
        </w:rPr>
        <w:t>Bukti pengujian dan log DILARANG memuat kredensial plain-text atau data pribadi (PII) tanpa enkripsi atau masking.</w:t>
      </w:r>
    </w:p>
    <w:p>
      <w:pPr>
        <w:keepNext/>
        <w:spacing w:before="280" w:after="80"/>
      </w:pPr>
      <w:r>
        <w:rPr>
          <w:rFonts w:ascii="Calibri" w:hAnsi="Calibri"/>
          <w:b/>
          <w:color w:val="1F3864"/>
          <w:sz w:val="26"/>
        </w:rPr>
        <w:t>4. Checklist Terpadu Advanced Security Operations (60 Kontrol Teknis)</w:t>
      </w:r>
    </w:p>
    <w:p>
      <w:pPr>
        <w:spacing w:before="0" w:after="60" w:line="276" w:lineRule="auto"/>
      </w:pPr>
      <w:r>
        <w:rPr>
          <w:rFonts w:ascii="Calibri" w:hAnsi="Calibri"/>
          <w:i w:val="0"/>
          <w:sz w:val="19"/>
        </w:rPr>
        <w:t>Checklist ini menggabungkan 60 kontrol operasional dan arsitektur dari ke-5 pilar Advanced Security yang wajib diverifikasi secara berkala:</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56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No</w:t>
            </w:r>
          </w:p>
        </w:tc>
        <w:tc>
          <w:tcPr>
            <w:tcW w:type="dxa" w:w="446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Item Kontrol Advanced Security</w:t>
            </w:r>
          </w:p>
        </w:tc>
        <w:tc>
          <w:tcPr>
            <w:tcW w:type="dxa" w:w="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Metode</w:t>
            </w:r>
          </w:p>
        </w:tc>
        <w:tc>
          <w:tcPr>
            <w:tcW w:type="dxa" w:w="1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Status</w:t>
            </w:r>
          </w:p>
        </w:tc>
        <w:tc>
          <w:tcPr>
            <w:tcW w:type="dxa" w:w="21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Evidence / Catatan</w:t>
            </w:r>
          </w:p>
        </w:tc>
      </w:tr>
      <w:tr>
        <w:trPr>
          <w:cantSplit/>
        </w:trPr>
        <w:tc>
          <w:tcPr>
            <w:tcW w:type="dxa" w:w="56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1F3864"/>
                <w:sz w:val="18"/>
              </w:rPr>
              <w:t>4.1</w:t>
            </w:r>
          </w:p>
        </w:tc>
        <w:tc>
          <w:tcPr>
            <w:tcW w:type="dxa" w:w="4466"/>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r>
              <w:rPr>
                <w:rFonts w:ascii="Calibri" w:hAnsi="Calibri"/>
                <w:b/>
                <w:color w:val="1F3864"/>
                <w:sz w:val="18"/>
              </w:rPr>
              <w:t>4.1 Domain 1: Bug Bounty &amp; Vulnerability Disclosure (BBP)</w:t>
            </w:r>
          </w:p>
        </w:tc>
        <w:tc>
          <w:tcPr>
            <w:tcW w:type="dxa" w:w="9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c>
          <w:tcPr>
            <w:tcW w:type="dxa" w:w="10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c>
          <w:tcPr>
            <w:tcW w:type="dxa" w:w="21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Penerbitan Kebijakan Vulnerability Disclosure Policy (VDP) resmi dan publik</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Kebijakan Vulnerability Disclosure Policy (VDP) telah dirumuskan dalam dokumen BBP-001 Section 3; publikasi resmi di portal publik sedang dalam tahap finalisasi.</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2</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Penyediaan platform penerimaan laporan bug bounty (HackerOne / Bugcrowd / Portal Mandiri)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NC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Portal bug bounty publik pihak ketiga (HackerOne/Bugcrowd) belum terintegrasi; saat ini pelaporan kerentanan eksternal diarahkan via email security@auditsphere.app (NC-01).</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3</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Penerapan batasan cakupan jelas: In-scope (*.auditsphere.id) dan Out-of-scope (DoS, Phishing)</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Batasan cakupan pengujian in-scope (*.auditsphere.app) dan out-of-scope telah didefinisikan dalam BBP-001; sosialisasi menunggu peluncuran program publik.</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4</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Pemberian klausul perlindungan hukum Safe Harbor bagi peneliti beritikad baik</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Klausul perlindungan hukum Safe Harbor bagi peneliti keamanan telah diadopsi dalam BBP-001 Section 3.2; siap diumumkan bersama program VDP.</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5</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Penetapan matriks reward berdasarkan tingkat keparahan CVSS v3.1 (Low s/d Critical)</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Matriks reward berdasarkan CVSS v3.1 telah distandarisasi dalam BBP-001 Section 5; alokasi dana operasional bounty menunggu persetujuan anggaran final.</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6</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Prosedur triage laporan dengan SLA respons verifikasi maksimal 3 hari kerja</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 + K</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Prosedur triage laporan dengan SLA respons verifikasi 3 hari kerja telah diatur dalam SOP BBP-001; saat ini dijalankan secara ad-hoc oleh Security Officer.</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7</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Prosedur validasi teknis (PoC verification) dan penetapan skor severity yang objektif</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M</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Verifikasi PoC teknis dan scoring keparahan dilakukan pada security testing internal; format laporan triage standar telah dibakukan.</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8</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Penetapan SLA remediasi kerentanan: Critical ≤ 7 hari, High ≤ 14 hari, Medium ≤ 30 hari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 + K</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SLA remediasi kerentanan (Critical ≤ 7 hari, High ≤ 14 hari) diselaraskan dengan tiket backlog pengembangan perangkat lunak.</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9</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Mekanisme re-testing oleh pelapor atau tim internal setelah perbaikan di-deploy</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M</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Mekanisme re-testing pasca-deploy dijalankan oleh tim QA dan DevOps sebelum rilis container ke lingkungan produksi.</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10</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Pencatatan temuan bug bounty ke dalam Corporate Risk Register dan backlog pengembang</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NC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Integrasi otomatis pencatatan temuan bug bounty ke Corporate Risk Register belum terhubung; pencatatan saat ini masih melalui backlog GitHub Issues (NC-05).</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11</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Kebijakan pengungkapan terkoordinasi (Coordinated Vulnerability Disclosure) setelah patch rilis</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Ketentuan Coordinated Vulnerability Disclosure (CVD) setelah rilis patch telah tertuang dalam BBP-001; siap dieksekusi saat ada laporan terverifikasi.</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12</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Program apresiasi Hall of Fame dan pemberian kompensasi reward tepat waktu</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Halaman apresiasi Hall of Fame telah disiapkan dalam template portal keamanan; aktivasi menunggu peluncuran program bounty publik.</w:t>
            </w:r>
          </w:p>
        </w:tc>
      </w:tr>
      <w:tr>
        <w:trPr>
          <w:cantSplit/>
        </w:trPr>
        <w:tc>
          <w:tcPr>
            <w:tcW w:type="dxa" w:w="56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1F3864"/>
                <w:sz w:val="18"/>
              </w:rPr>
              <w:t>4.2</w:t>
            </w:r>
          </w:p>
        </w:tc>
        <w:tc>
          <w:tcPr>
            <w:tcW w:type="dxa" w:w="4466"/>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r>
              <w:rPr>
                <w:rFonts w:ascii="Calibri" w:hAnsi="Calibri"/>
                <w:b/>
                <w:color w:val="1F3864"/>
                <w:sz w:val="18"/>
              </w:rPr>
              <w:t>4.2 Domain 2: Forensic Readiness &amp; Chain of Custody (FRP)</w:t>
            </w:r>
          </w:p>
        </w:tc>
        <w:tc>
          <w:tcPr>
            <w:tcW w:type="dxa" w:w="9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c>
          <w:tcPr>
            <w:tcW w:type="dxa" w:w="10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c>
          <w:tcPr>
            <w:tcW w:type="dxa" w:w="21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13</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Penetapan Prosedur Kesiapan Forensik Digital (Forensic Readiness Procedure) resmi (A.5.28)</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Dokumen FRP-001 (DOK-120) disahkan dan terintegrasi pada tata kelola ISMS AuditSphere.</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14</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Sinkronisasi waktu jaringan (Network Time Protocol - NTP) terpusat pada seluruh server (A.8.17)</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System clock VPS tersinkronisasi NTP (pool ntp.ubuntu.com); kontainer Docker mengacu pada host clock UTC.</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15</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Sentralisasi pengumpulan log keamanan (SIEM) dengan proteksi anti-tampering (A.8.15)</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Event streaming Kafka (pkg/kafka) dan audit trail log terstruktur dengan skema immutable event.</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16</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Penyediaan perangkat keras write-blocker untuk akuisisi disk fisik secara forensik</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N/A</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Sistem AuditSphere berjalan di Cloud VPS / containerized environment tanpa server bare-metal fisik; akuisisi disk dilakukan via snapshot cloud terenkripsi, write-blocker fisik tidak relevan.</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17</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Ketersediaan toolkit akuisisi memori RAM (DumpIt / WinPmem / LiME / Volatility)</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M</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NC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Toolkit akuisisi memori RAM forensik (LiME / Volatility) belum terinstalasi dan terotomasi pada script tanggap darurat di VPS produksi (NC-04).</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18</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Penerapan urutan pengumpulan bukti berdasarkan Order of Volatility (RAM, Network, Disk)</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 + M</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SOP urutan volatilitas digital diatur dalam FRP-001 Bagian 3.2 (Tingkat 1 RAM s/d Tingkat 5 Cloud Log).</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19</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Pembuatan hash kriptografis (SHA-256) seketika pada saat pembuatan forensic image</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M</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Validasi integritas upload dokumen kertas kerja dan audit trail menggunakan checksum kriptografis SHA-256.</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20</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Pengisian formulir Chain of Custody (CoC) secara ketat pada setiap serah terima bukti digital</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Template formulir Chain of Custody (CoC) telah dibakukan dalam FRP-001; pencatatan bukti saat ini difokuskan pada log audit Kafka immutable dan snapshot.</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21</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Penyediaan fasilitas laboratorium forensik terisolasi (air-gapped analysis workstation)</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Analisis artefak digital dilakukan pada isolated sandbox VM terpisah dari jaringan produksi; fasilitas air-gapped lab fisik tidak digunakan.</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22</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Penyimpanan bukti digital dalam media terenkripsi dan safe locker terkunci (A.5.28)</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Direktori bukti audit /app/uploads tersimpan pada volume disk terenkripsi terlindungi permission ketat.</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23</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Pelatihan berkala analisis forensik dan penanganan insiden bagi tim SOC/IR (A.6.3)</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NC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Pelatihan berkala analisis forensik digital dan sertifikasi formal penanganan insiden untuk tim SOC/IR belum dilaksanakan pada siklus tahun berjalan (NC-06).</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24</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Kepatuhan terhadap aspek hukum pembuktian digital (UU ITE, UU PDP No. 27/2022, KUHAP)</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Pemenuhan keabsahan alat bukti elektronik selaras dengan UU ITE Pasal 5 dan UU PDP No. 27/2022.</w:t>
            </w:r>
          </w:p>
        </w:tc>
      </w:tr>
      <w:tr>
        <w:trPr>
          <w:cantSplit/>
        </w:trPr>
        <w:tc>
          <w:tcPr>
            <w:tcW w:type="dxa" w:w="56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1F3864"/>
                <w:sz w:val="18"/>
              </w:rPr>
              <w:t>4.3</w:t>
            </w:r>
          </w:p>
        </w:tc>
        <w:tc>
          <w:tcPr>
            <w:tcW w:type="dxa" w:w="4466"/>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r>
              <w:rPr>
                <w:rFonts w:ascii="Calibri" w:hAnsi="Calibri"/>
                <w:b/>
                <w:color w:val="1F3864"/>
                <w:sz w:val="18"/>
              </w:rPr>
              <w:t>4.3 Domain 3: Red Team &amp; Purple Team Adversary Testing (RTP)</w:t>
            </w:r>
          </w:p>
        </w:tc>
        <w:tc>
          <w:tcPr>
            <w:tcW w:type="dxa" w:w="9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c>
          <w:tcPr>
            <w:tcW w:type="dxa" w:w="10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c>
          <w:tcPr>
            <w:tcW w:type="dxa" w:w="21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25</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Penyusunan Rencana Pengujian Red Team / Purple Team berkala minimal setahun sekali (A.8.29)</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Dokumen RTP-001 (DOK-118) disahkan sebagai acuan pelaksanaan adversary testing tahunan.</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26</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Penetapan Rules of Engagement (RoE) mencakup batasan sistem dan pengecualian destruktif</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Batasan testing window dan aturan non-destructive testing didefinisikan pada dokumen RoE Scope &amp; Window v1.</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27</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Penerbitan surat izin operasional resmi (Letter of Authorization / Get-out-of-jail Card)</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Surat otorisasi pengujian resmi (LoA) disiapkan untuk pengujian keamanan auditsphere.app.</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28</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Pembentukan struktur tim yang jelas: Red Team (Attacker), Blue Team (SOC), White Team (Wasit)</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Struktur organisasi penugasan peran (Red Team, Blue Team SOC, White Team) ditetapkan pada RTP-001 Bagian 2.</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29</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Pemetaan skenario simulasi serangan terhadap matriks taktik MITRE ATT&amp;CK Enterprise</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 + M</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Matriks skenario pengujian dipetakan terhadap taktik MITRE ATT&amp;CK Enterprise pada RTP-001 Bagian 3.</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30</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Penyediaan kanal komunikasi darurat dan mekanisme Emergency Stop jika ada gangguan layanan</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 + K</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Kanal darurat dan prosedur Emergency Stop pengujian diatur secara eksplisit dalam RoE Bab 4.</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31</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Pengujian teknik Initial Access (Spear-phishing terotorisasi, eksploitasi perimeter publik)</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M</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Pengujian Initial Access pada perimeter web/API dilakukan secara berkala melalui pre-pentest; simulasi spear-phishing terotorisasi dalam jadwal tahunan.</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32</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Pengujian lateral movement, privilege escalation, dan data exfiltration simulation</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M</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Uji eskalasi hak akses (privilege escalation) telah diuji pada staging; simulasi lateral movement dan exfiltration terpadu masuk agenda Purple Team.</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33</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Pelaksanaan sesi kolaboratif Purple Team (debriefing teknik serangan vs rule deteksi SOC)</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 + M</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NC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Simulasi gabungan Purple Team terjadwal secara langsung di server produksi auditsphere.app belum pernah dilaksanakan (NC-02).</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34</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Pengukuran metrik pertahanan: Mean Time to Detect (MTTD &lt; 1 jam) &amp; Mean Time to Respond (MTTR &lt; 4 jam)</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O + M</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Target SLA MTTD (&lt;1 jam) dan MTTR (&lt;4 jam) telah ditetapkan dalam dokumen RTP-001; dashboard pengukuran otomatis terintegrasi sedang dikembangkan.</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35</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Penyusunan laporan gabungan Purple Team Report yang memuat rekomendasi gap detection</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Template laporan gabungan Purple Team Report telah distandarisasi dalam RTP-001; penerbitan menunggu eksekusi simulasi terjadwal.</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36</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Pelacakan remediasi temuan kelemahan pertahanan sesuai matriks SLA keparahan</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Pelacakan remediasi temuan kelemahan pertahanan dikelola melalui board GitHub Issues dengan penanggung jawab Engineering Lead.</w:t>
            </w:r>
          </w:p>
        </w:tc>
      </w:tr>
      <w:tr>
        <w:trPr>
          <w:cantSplit/>
        </w:trPr>
        <w:tc>
          <w:tcPr>
            <w:tcW w:type="dxa" w:w="56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1F3864"/>
                <w:sz w:val="18"/>
              </w:rPr>
              <w:t>4.4</w:t>
            </w:r>
          </w:p>
        </w:tc>
        <w:tc>
          <w:tcPr>
            <w:tcW w:type="dxa" w:w="4466"/>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r>
              <w:rPr>
                <w:rFonts w:ascii="Calibri" w:hAnsi="Calibri"/>
                <w:b/>
                <w:color w:val="1F3864"/>
                <w:sz w:val="18"/>
              </w:rPr>
              <w:t>4.4 Domain 4: Cyber Threat Intelligence &amp; Sharing (TIP)</w:t>
            </w:r>
          </w:p>
        </w:tc>
        <w:tc>
          <w:tcPr>
            <w:tcW w:type="dxa" w:w="9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c>
          <w:tcPr>
            <w:tcW w:type="dxa" w:w="10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c>
          <w:tcPr>
            <w:tcW w:type="dxa" w:w="21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37</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Penyusunan Prosedur Threat Intelligence resmi selaras kontrol ISO/IEC 27001 A.5.7</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Dokumen TIP-001 disahkan sebagai acuan pengelolaan CTI selaras ISO/IEC 27001:2022 klausul A.5.7.</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38</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Penetapan Priority Intelligence Requirements (PIR) berdasarkan profil ancaman AuditSphere®</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Penetapan PIR mencakup ancaman eksfiltrasi data audit, manipulasi risiko, dan bypass autentikasi.</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39</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Integrasi sumber data intelijen internal: log SIEM, EDR alert, laporan pentest, bug bounty</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Integrasi telemetri internal aktif: logging sentral Kong Gateway, auth-service, dan Prometheus metrics.</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40</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Integrasi sumber intelijen eksternal: feed BSSN, ISAC, AlienVault OTX, VirusTotal API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NC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Integrasi automated CTI feed (BSSN, AlienVault OTX, MISP) ke rule perimeter firewall Kong belum terpasang otomatis (NC-03).</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41</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Penyebaran CTI tingkat Strategis untuk pertimbangan manajemen puncak (executive briefing)</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Format diseminasi CTI strategis untuk pimpinan diselaraskan dengan standar Leadership OS AIFL.</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42</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Penyebaran CTI tingkat Taktis (pemetaan TTP ancaman aktor ke MITRE ATT&amp;CK)</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 + M</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Format intelijen taktis memetakan TTP kelompok ancaman ke taktik MITRE ATT&amp;CK pada TIP-001.</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43</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Penyebaran CTI tingkat Operasional (analisis kampanye ransomware atau phishing aktif)</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Prosedur analisis operasional kampanye malware/phishing aktif diatur dalam TIP-001 Bagian 3.</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44</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Penyebaran CTI tingkat Teknis (ingesti otomatis IoC IP/domain/hash berbahaya ke firewall)</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Plugin bot-detection pada Kong API Gateway memblokir automated attack scanners (sqlmap, nikto, nmap).</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45</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Penerapan Threat Intelligence Platform (TIP) terintegrasi (misal: MISP atau OpenCTI)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Prosedur intelijen TIP-001 telah disahkan; instance Threat Intelligence Platform (OpenCTI/MISP) saat ini beroperasi pada lingkungan lab internal.</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46</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Proses de-duplikasi, normalisasi, dan enrichment IoC sebelum diterapkan ke rule blokir</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Ketentuan de-duplikasi dan normalisasi IoC telah diatur dalam TIP-001 Section 4; proses enrichment otomatis berbasis API sedang dioptimalkan.</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47</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Pembaruan otomatis rule deteksi SIEM dan WAF berdasarkan update IoC dalam tempo ≤ 24 jam</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Pembaruan rule WAF Kong dilakukan semi-otomatis melalui git sync repositori konfigurasi; pembaruan otomatis sub-24 jam dalam tahap integrasi CI/CD.</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48</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Evaluasi efektivitas umpan balik intelijen dan penurunan angka false positive rate (≤ 10%)</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Metrik akurasi CTI dan evaluasi false-positive rate telah ditentukan dalam KPI TIP-001; evaluasi berkala dilakukan saat security review.</w:t>
            </w:r>
          </w:p>
        </w:tc>
      </w:tr>
      <w:tr>
        <w:trPr>
          <w:cantSplit/>
        </w:trPr>
        <w:tc>
          <w:tcPr>
            <w:tcW w:type="dxa" w:w="56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1F3864"/>
                <w:sz w:val="18"/>
              </w:rPr>
              <w:t>4.5</w:t>
            </w:r>
          </w:p>
        </w:tc>
        <w:tc>
          <w:tcPr>
            <w:tcW w:type="dxa" w:w="4466"/>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r>
              <w:rPr>
                <w:rFonts w:ascii="Calibri" w:hAnsi="Calibri"/>
                <w:b/>
                <w:color w:val="1F3864"/>
                <w:sz w:val="18"/>
              </w:rPr>
              <w:t>4.5 Domain 5: Zero Trust Architecture &amp; Continuous Verification (ZTA)</w:t>
            </w:r>
          </w:p>
        </w:tc>
        <w:tc>
          <w:tcPr>
            <w:tcW w:type="dxa" w:w="9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c>
          <w:tcPr>
            <w:tcW w:type="dxa" w:w="10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c>
          <w:tcPr>
            <w:tcW w:type="dxa" w:w="2100"/>
            <w:shd w:fill="DCE6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pPr>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49</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Adopsi prinsip Zero Trust resmi: Never Trust, Always Verify, dan Assume Breach (NIST SP 800-207)</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Prinsip Zero Trust (Never Trust, Always Verify) diterapkan pada ingress API Gateway dan microservices.</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50</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Pilar Identitas: Penerapan SSO terpusat dan Multi-Factor Authentication (MFA) wajib (A.8.5)</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MFA berbasis TOTP (Google Authenticator) dan Email OTP aktif di auth-service untuk seluruh akun privileged.</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51</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Pilar Identitas: Pengelolaan hak istimewa (Privileged Access Management - PAM) berbasis least privilege</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Matriks RBAC granular 5-tingkat diimplementasikan pada middleware otorisasi backend Go tanpa izin wildcard (*).</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52</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Pilar Perangkat: Manajemen endpoint via MDM dan verifikasi postur keamanan perangkat (EDR aktif)</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Modul Trusted Device fingerprinting aktif di auth-service mencatat identitas perangkat dan histori login.</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53</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Pilar Jaringan: Penerapan mikrosegmentasi jaringan antar-service backend (A.8.20, A.8.22)</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Jaringan Docker internal rb_audit_network mengisolasi database PostgreSQL, Redis, dan Kafka dari internet publik.</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54</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Pilar Jaringan: Penerapan Software-Defined Perimeter (SDP) dan Zero Trust Network Access (ZTNA)</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Kong API Gateway difungsikan sebagai reverse proxy tunggal (perimeter) pengendali seluruh trafik API.</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55</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Pilar Aplikasi: Otorisasi granular per-transaksi (Policy Enforcement Point - PEP pada API gateway)</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Policy Enforcement Point (PEP) aktif via validasi JWT Bearer token pada gateway dan otorisasi service Go.</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56</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Pilar Data: Klasifikasi data otomatis dan enkripsi data diam (AES-256) serta transit (TLS 1.3)</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Enkripsi transit TLS 1.3 aktif di auditsphere.app dan password database terenkripsi menggunakan bcrypt.</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57</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Pilar Data: Implementasi Data Loss Prevention (DLP) untuk mencegah transfer data ilegal</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NC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Sistem Data Loss Prevention (DLP) otomatis berbasis inspeksi konten muatan HTTP belum aktif pada API Gateway perimeter (NC-07).</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58</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Pilar Visibilitas: Monitoring terpusat dengan User and Entity Behavior Analytics (UEBA)</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Monitoring aktivitas pengguna terpusat pada audit trail Kafka; analitik perilaku lanjutan (UEBA) direncanakan pada Roadmap ZTA Tahap 3.</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59</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Pilar Otomasi: Orkestrasi respons insiden otomatis melalui Security Orchestration (SOAR)</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K + O</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OFI</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Mekanisme pemblokiran IP otomatis dan isolasi token aktif di Kong WAF; orkestrasi playbook SOAR menyeluruh dalam perancangan arsitektur.</w:t>
            </w:r>
          </w:p>
        </w:tc>
      </w:tr>
      <w:tr>
        <w:trPr>
          <w:cantSplit/>
        </w:trPr>
        <w:tc>
          <w:tcPr>
            <w:tcW w:type="dxa" w:w="56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60</w:t>
            </w:r>
          </w:p>
        </w:tc>
        <w:tc>
          <w:tcPr>
            <w:tcW w:type="dxa" w:w="446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Evaluasi kematangan arsitektur Zero Trust menuju target Level 4 (Optimal) pada Tahun ke-3</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D</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27AE60"/>
                <w:sz w:val="19"/>
              </w:rPr>
              <w:t>C</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Roadmap ZTAR-001 mendokumentasikan perencanaan implementasi arsitektur Zero Trust hingga Tahun ke-3.</w:t>
            </w:r>
          </w:p>
        </w:tc>
      </w:tr>
    </w:tbl>
    <w:p>
      <w:pPr>
        <w:spacing w:before="0" w:after="80"/>
      </w:pPr>
    </w:p>
    <w:p>
      <w:pPr>
        <w:keepNext/>
        <w:spacing w:before="280" w:after="80"/>
      </w:pPr>
      <w:r>
        <w:rPr>
          <w:rFonts w:ascii="Calibri" w:hAnsi="Calibri"/>
          <w:b/>
          <w:color w:val="1F3864"/>
          <w:sz w:val="26"/>
        </w:rPr>
        <w:t>5. Kebijakan &amp; Tata Kelola Bug Bounty Program (BBP-001)</w:t>
      </w:r>
    </w:p>
    <w:p>
      <w:pPr>
        <w:spacing w:before="0" w:after="60" w:line="276" w:lineRule="auto"/>
      </w:pPr>
      <w:r>
        <w:rPr>
          <w:rFonts w:ascii="Calibri" w:hAnsi="Calibri"/>
          <w:i w:val="0"/>
          <w:sz w:val="19"/>
        </w:rPr>
        <w:t>Program Bug Bounty PT Bina Audita Indonesia dirancang untuk memberdayakan komunitas peneliti keamanan independen dalam mengidentifikasi kerentanan secara etis dan bertanggung jawab sesuai standar ISO/IEC 29147.</w:t>
      </w:r>
    </w:p>
    <w:p>
      <w:pPr>
        <w:keepNext/>
        <w:spacing w:before="200" w:after="60"/>
      </w:pPr>
      <w:r>
        <w:rPr>
          <w:rFonts w:ascii="Calibri" w:hAnsi="Calibri"/>
          <w:b/>
          <w:color w:val="2E5597"/>
          <w:sz w:val="22"/>
        </w:rPr>
        <w:t>5.1 Struktur Platform &amp; Batasan Ruang Lingkup</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Kategori Aset</w:t>
            </w:r>
          </w:p>
        </w:tc>
        <w:tc>
          <w:tcPr>
            <w:tcW w:type="dxa" w:w="30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Komponen In-Scope</w:t>
            </w:r>
          </w:p>
        </w:tc>
        <w:tc>
          <w:tcPr>
            <w:tcW w:type="dxa" w:w="1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Status Reward</w:t>
            </w:r>
          </w:p>
        </w:tc>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Batasan Pengujian</w:t>
            </w:r>
          </w:p>
        </w:tc>
      </w:tr>
      <w:tr>
        <w:trPr>
          <w:cantSplit/>
        </w:trPr>
        <w:tc>
          <w:tcPr>
            <w:tcW w:type="dxa" w:w="2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Web Application</w:t>
            </w:r>
          </w:p>
        </w:tc>
        <w:tc>
          <w:tcPr>
            <w:tcW w:type="dxa" w:w="3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*.auditsphere.id, auditsphere.app</w:t>
            </w:r>
          </w:p>
        </w:tc>
        <w:tc>
          <w:tcPr>
            <w:tcW w:type="dxa" w:w="1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Eligible (Reward)</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Pengujian web berbasis OWASP Top 10.</w:t>
            </w:r>
          </w:p>
        </w:tc>
      </w:tr>
      <w:tr>
        <w:trPr>
          <w:cantSplit/>
        </w:trPr>
        <w:tc>
          <w:tcPr>
            <w:tcW w:type="dxa" w:w="2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API Gateway &amp; Endpoint</w:t>
            </w:r>
          </w:p>
        </w:tc>
        <w:tc>
          <w:tcPr>
            <w:tcW w:type="dxa" w:w="3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api.auditsphere.id, /v1/auth/*, /v1/audit/*</w:t>
            </w:r>
          </w:p>
        </w:tc>
        <w:tc>
          <w:tcPr>
            <w:tcW w:type="dxa" w:w="1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Eligible (Reward)</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Pengujian autentikasi, BOLA/BFLA, injection.</w:t>
            </w:r>
          </w:p>
        </w:tc>
      </w:tr>
      <w:tr>
        <w:trPr>
          <w:cantSplit/>
        </w:trPr>
        <w:tc>
          <w:tcPr>
            <w:tcW w:type="dxa" w:w="2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Mobile Application</w:t>
            </w:r>
          </w:p>
        </w:tc>
        <w:tc>
          <w:tcPr>
            <w:tcW w:type="dxa" w:w="3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AuditSphere Mobile Client (Android &amp; iOS)</w:t>
            </w:r>
          </w:p>
        </w:tc>
        <w:tc>
          <w:tcPr>
            <w:tcW w:type="dxa" w:w="1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Eligible (Reward)</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Analisis binary, insecure storage, API intercept.</w:t>
            </w:r>
          </w:p>
        </w:tc>
      </w:tr>
      <w:tr>
        <w:trPr>
          <w:cantSplit/>
        </w:trPr>
        <w:tc>
          <w:tcPr>
            <w:tcW w:type="dxa" w:w="2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Out-of-Scope (Dilarang)</w:t>
            </w:r>
          </w:p>
        </w:tc>
        <w:tc>
          <w:tcPr>
            <w:tcW w:type="dxa" w:w="3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Infrastruktur cloud penyedia, DDoS, Phishing</w:t>
            </w:r>
          </w:p>
        </w:tc>
        <w:tc>
          <w:tcPr>
            <w:tcW w:type="dxa" w:w="1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NOT Eligible (❌)</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Dilarang keras melakukan social engineering atau DoS.</w:t>
            </w:r>
          </w:p>
        </w:tc>
      </w:tr>
    </w:tbl>
    <w:p>
      <w:pPr>
        <w:spacing w:before="0" w:after="80"/>
      </w:pPr>
    </w:p>
    <w:p>
      <w:pPr>
        <w:keepNext/>
        <w:spacing w:before="200" w:after="60"/>
      </w:pPr>
      <w:r>
        <w:rPr>
          <w:rFonts w:ascii="Calibri" w:hAnsi="Calibri"/>
          <w:b/>
          <w:color w:val="2E5597"/>
          <w:sz w:val="22"/>
        </w:rPr>
        <w:t>5.2 Skema Reward &amp; Bobot Kerentanan</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Severity Level</w:t>
            </w:r>
          </w:p>
        </w:tc>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Rentang Skor CVSS</w:t>
            </w:r>
          </w:p>
        </w:tc>
        <w:tc>
          <w:tcPr>
            <w:tcW w:type="dxa" w:w="26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Alokasi Hadiah Finansial</w:t>
            </w:r>
          </w:p>
        </w:tc>
        <w:tc>
          <w:tcPr>
            <w:tcW w:type="dxa" w:w="3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Contoh Temuan Kerentanan</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Critical</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9.0 – 10.0</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Rp 10.000.000 – Rp 50.000.000</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RCE, SQLi dengan dump data, Auth Bypass, Mass Account Takeover.</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High</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7.0 – 8.9</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Rp 5.000.000 – Rp 10.000.000</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Stored XSS, BOLA/IDOR pada data finansial, SSRF internal network.</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Medium</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4.0 – 6.9</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Rp 1.000.000 – Rp 5.000.000</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Reflected XSS, CSRF aksi non-kritis, kebocoran info sensitif terbatas.</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Low</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0.1 – 3.9</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Rp 500.000 – Rp 1.000.000</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Missing security headers, verbose error message, self-XSS.</w:t>
            </w:r>
          </w:p>
        </w:tc>
      </w:tr>
    </w:tbl>
    <w:p>
      <w:pPr>
        <w:spacing w:before="0" w:after="80"/>
      </w:pPr>
    </w:p>
    <w:p>
      <w:pPr>
        <w:spacing w:before="0" w:after="60" w:line="276" w:lineRule="auto"/>
      </w:pPr>
      <w:r>
        <w:rPr>
          <w:rFonts w:ascii="Calibri" w:hAnsi="Calibri"/>
          <w:i w:val="0"/>
          <w:sz w:val="19"/>
        </w:rPr>
        <w:t>Insentif Tambahan: Laporan pertama untuk kerentanan baru (+20%), Laporan berkualitas tinggi dengan PoC detail (+10%), Eksploitasi berantai / exploit chain (+30%).</w:t>
      </w:r>
    </w:p>
    <w:p>
      <w:pPr>
        <w:keepNext/>
        <w:spacing w:before="200" w:after="60"/>
      </w:pPr>
      <w:r>
        <w:rPr>
          <w:rFonts w:ascii="Calibri" w:hAnsi="Calibri"/>
          <w:b/>
          <w:color w:val="2E5597"/>
          <w:sz w:val="22"/>
        </w:rPr>
        <w:t>5.3 Prosedur Triage &amp; Safe Harbor</w:t>
      </w:r>
    </w:p>
    <w:p>
      <w:pPr>
        <w:spacing w:before="0" w:after="60" w:line="276" w:lineRule="auto"/>
      </w:pPr>
      <w:r>
        <w:rPr>
          <w:rFonts w:ascii="Calibri" w:hAnsi="Calibri"/>
          <w:i w:val="0"/>
          <w:sz w:val="19"/>
        </w:rPr>
        <w:t>Ketentuan Safe Harbor: PT Bina Audita Indonesia menjamin tidak akan menempuh jalur hukum perdata maupun pidana terhadap peneliti keamanan yang bertindak dengan itikad baik, mematuhi Rules of Engagement, tidak merusak integritas sistem atau membocorkan data pengguna, serta memberikan waktu perbaikan 90 hari sebelum pengungkapan publik.</w:t>
      </w:r>
    </w:p>
    <w:p>
      <w:pPr>
        <w:keepNext/>
        <w:spacing w:before="280" w:after="80"/>
      </w:pPr>
      <w:r>
        <w:rPr>
          <w:rFonts w:ascii="Calibri" w:hAnsi="Calibri"/>
          <w:b/>
          <w:color w:val="1F3864"/>
          <w:sz w:val="26"/>
        </w:rPr>
        <w:t>6. Prosedur Kesiapan Forensik Digital (Forensic Readiness Procedure - FRP-001)</w:t>
      </w:r>
    </w:p>
    <w:p>
      <w:pPr>
        <w:spacing w:before="0" w:after="60" w:line="276" w:lineRule="auto"/>
      </w:pPr>
      <w:r>
        <w:rPr>
          <w:rFonts w:ascii="Calibri" w:hAnsi="Calibri"/>
          <w:i w:val="0"/>
          <w:sz w:val="19"/>
        </w:rPr>
        <w:t>Prosedur ini menetapkan tata kelola bukti digital (Digital Evidence Management) selaras ISO/IEC 27001:2022 kontrol A.5.28 dan NIST SP 800-86 untuk menjamin integritas hukum barang bukti saat terjadi insiden siber.</w:t>
      </w:r>
    </w:p>
    <w:p>
      <w:pPr>
        <w:keepNext/>
        <w:spacing w:before="200" w:after="60"/>
      </w:pPr>
      <w:r>
        <w:rPr>
          <w:rFonts w:ascii="Calibri" w:hAnsi="Calibri"/>
          <w:b/>
          <w:color w:val="2E5597"/>
          <w:sz w:val="22"/>
        </w:rPr>
        <w:t>6.1 Empat Pilar Kesiapan Forensik</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1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Pilar</w:t>
            </w:r>
          </w:p>
        </w:tc>
        <w:tc>
          <w:tcPr>
            <w:tcW w:type="dxa" w:w="30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Komponen Kesiapan</w:t>
            </w:r>
          </w:p>
        </w:tc>
        <w:tc>
          <w:tcPr>
            <w:tcW w:type="dxa" w:w="44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Peran &amp; Spesifikasi Teknis</w:t>
            </w:r>
          </w:p>
        </w:tc>
      </w:tr>
      <w:tr>
        <w:trPr>
          <w:cantSplit/>
        </w:trPr>
        <w:tc>
          <w:tcPr>
            <w:tcW w:type="dxa" w:w="1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People</w:t>
            </w:r>
          </w:p>
        </w:tc>
        <w:tc>
          <w:tcPr>
            <w:tcW w:type="dxa" w:w="3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Tim Investigasi Forensik</w:t>
            </w:r>
          </w:p>
        </w:tc>
        <w:tc>
          <w:tcPr>
            <w:tcW w:type="dxa" w:w="4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Forensic Analyst bersertifikasi (GCFA/EnCE), IR Analyst, Legal Counsel, DPO.</w:t>
            </w:r>
          </w:p>
        </w:tc>
      </w:tr>
      <w:tr>
        <w:trPr>
          <w:cantSplit/>
        </w:trPr>
        <w:tc>
          <w:tcPr>
            <w:tcW w:type="dxa" w:w="1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Process</w:t>
            </w:r>
          </w:p>
        </w:tc>
        <w:tc>
          <w:tcPr>
            <w:tcW w:type="dxa" w:w="3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SOP Rantai Penjagaan</w:t>
            </w:r>
          </w:p>
        </w:tc>
        <w:tc>
          <w:tcPr>
            <w:tcW w:type="dxa" w:w="4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Prosedur penanganan insiden (IRP-001), Chain of Custody SOP, Evidence Handling SOP.</w:t>
            </w:r>
          </w:p>
        </w:tc>
      </w:tr>
      <w:tr>
        <w:trPr>
          <w:cantSplit/>
        </w:trPr>
        <w:tc>
          <w:tcPr>
            <w:tcW w:type="dxa" w:w="1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Technology</w:t>
            </w:r>
          </w:p>
        </w:tc>
        <w:tc>
          <w:tcPr>
            <w:tcW w:type="dxa" w:w="3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Hardware &amp; Software Forensik</w:t>
            </w:r>
          </w:p>
        </w:tc>
        <w:tc>
          <w:tcPr>
            <w:tcW w:type="dxa" w:w="4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Write-blocker workstation, FTK Imager, Volatility 3, Autopsy, Sleuth Kit, Wireshark.</w:t>
            </w:r>
          </w:p>
        </w:tc>
      </w:tr>
      <w:tr>
        <w:trPr>
          <w:cantSplit/>
        </w:trPr>
        <w:tc>
          <w:tcPr>
            <w:tcW w:type="dxa" w:w="1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Facility</w:t>
            </w:r>
          </w:p>
        </w:tc>
        <w:tc>
          <w:tcPr>
            <w:tcW w:type="dxa" w:w="3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Laboratorium Forensik Fisik</w:t>
            </w:r>
          </w:p>
        </w:tc>
        <w:tc>
          <w:tcPr>
            <w:tcW w:type="dxa" w:w="4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Ruang lab terisolasi (air-gapped), safe locker tahan api, akses biometric log.</w:t>
            </w:r>
          </w:p>
        </w:tc>
      </w:tr>
    </w:tbl>
    <w:p>
      <w:pPr>
        <w:spacing w:before="0" w:after="80"/>
      </w:pPr>
    </w:p>
    <w:p>
      <w:pPr>
        <w:keepNext/>
        <w:spacing w:before="200" w:after="60"/>
      </w:pPr>
      <w:r>
        <w:rPr>
          <w:rFonts w:ascii="Calibri" w:hAnsi="Calibri"/>
          <w:b/>
          <w:color w:val="2E5597"/>
          <w:sz w:val="22"/>
        </w:rPr>
        <w:t>6.2 Urutan Volatilitas (Order of Volatility)</w:t>
      </w:r>
    </w:p>
    <w:p>
      <w:pPr>
        <w:spacing w:before="0" w:after="60" w:line="276" w:lineRule="auto"/>
      </w:pPr>
      <w:r>
        <w:rPr>
          <w:rFonts w:ascii="Calibri" w:hAnsi="Calibri"/>
          <w:i w:val="0"/>
          <w:sz w:val="19"/>
        </w:rPr>
        <w:t>Pengumpulan bukti digital wajib mematuhi hierarki ketahanan data dari yang paling cepat hilang (volatile) hingga yang persisten:</w:t>
      </w:r>
    </w:p>
    <w:p>
      <w:pPr>
        <w:pStyle w:val="ListBullet"/>
        <w:spacing w:before="0" w:after="40" w:line="276" w:lineRule="auto"/>
      </w:pPr>
      <w:r>
        <w:rPr>
          <w:rFonts w:ascii="Calibri" w:hAnsi="Calibri"/>
          <w:b/>
          <w:sz w:val="19"/>
        </w:rPr>
        <w:t xml:space="preserve">1. Tingkat Teratas: </w:t>
      </w:r>
      <w:r>
        <w:rPr>
          <w:rFonts w:ascii="Calibri" w:hAnsi="Calibri"/>
          <w:sz w:val="19"/>
        </w:rPr>
        <w:t>Memori Volatil (RAM, cache memori, register CPU) — Wajib di-dump sebelum sistem dimatikan.</w:t>
      </w:r>
    </w:p>
    <w:p>
      <w:pPr>
        <w:pStyle w:val="ListBullet"/>
        <w:spacing w:before="0" w:after="40" w:line="276" w:lineRule="auto"/>
      </w:pPr>
      <w:r>
        <w:rPr>
          <w:rFonts w:ascii="Calibri" w:hAnsi="Calibri"/>
          <w:b/>
          <w:sz w:val="19"/>
        </w:rPr>
        <w:t xml:space="preserve">2. Status Jaringan: </w:t>
      </w:r>
      <w:r>
        <w:rPr>
          <w:rFonts w:ascii="Calibri" w:hAnsi="Calibri"/>
          <w:sz w:val="19"/>
        </w:rPr>
        <w:t>Status Jaringan Aktif (Koneksi socket terbuka, tabel routing, ARP cache).</w:t>
      </w:r>
    </w:p>
    <w:p>
      <w:pPr>
        <w:pStyle w:val="ListBullet"/>
        <w:spacing w:before="0" w:after="40" w:line="276" w:lineRule="auto"/>
      </w:pPr>
      <w:r>
        <w:rPr>
          <w:rFonts w:ascii="Calibri" w:hAnsi="Calibri"/>
          <w:b/>
          <w:sz w:val="19"/>
        </w:rPr>
        <w:t xml:space="preserve">3. Proses Sistem: </w:t>
      </w:r>
      <w:r>
        <w:rPr>
          <w:rFonts w:ascii="Calibri" w:hAnsi="Calibri"/>
          <w:sz w:val="19"/>
        </w:rPr>
        <w:t>Proses Berjalan (Running processes, handle file, thread execution).</w:t>
      </w:r>
    </w:p>
    <w:p>
      <w:pPr>
        <w:pStyle w:val="ListBullet"/>
        <w:spacing w:before="0" w:after="40" w:line="276" w:lineRule="auto"/>
      </w:pPr>
      <w:r>
        <w:rPr>
          <w:rFonts w:ascii="Calibri" w:hAnsi="Calibri"/>
          <w:b/>
          <w:sz w:val="19"/>
        </w:rPr>
        <w:t xml:space="preserve">4. Disk Storage: </w:t>
      </w:r>
      <w:r>
        <w:rPr>
          <w:rFonts w:ascii="Calibri" w:hAnsi="Calibri"/>
          <w:sz w:val="19"/>
        </w:rPr>
        <w:t>Media Penyimpanan Fisik (Hard drive, SSD, virtual disk, partisi storage).</w:t>
      </w:r>
    </w:p>
    <w:p>
      <w:pPr>
        <w:pStyle w:val="ListBullet"/>
        <w:spacing w:before="0" w:after="40" w:line="276" w:lineRule="auto"/>
      </w:pPr>
      <w:r>
        <w:rPr>
          <w:rFonts w:ascii="Calibri" w:hAnsi="Calibri"/>
          <w:b/>
          <w:sz w:val="19"/>
        </w:rPr>
        <w:t xml:space="preserve">5. Data Statis/Arsip: </w:t>
      </w:r>
      <w:r>
        <w:rPr>
          <w:rFonts w:ascii="Calibri" w:hAnsi="Calibri"/>
          <w:sz w:val="19"/>
        </w:rPr>
        <w:t>Log Cadangan &amp; Arsip Jangka Panjang (Backup tape, cloud snapshot, SIEM historical logs).</w:t>
      </w:r>
    </w:p>
    <w:p>
      <w:pPr>
        <w:keepNext/>
        <w:spacing w:before="200" w:after="60"/>
      </w:pPr>
      <w:r>
        <w:rPr>
          <w:rFonts w:ascii="Calibri" w:hAnsi="Calibri"/>
          <w:b/>
          <w:color w:val="2E5597"/>
          <w:sz w:val="22"/>
        </w:rPr>
        <w:t>6.3 Formulir Chain of Custody (Rantai Penjagaan Bukti)</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2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Field Formulir CoC</w:t>
            </w:r>
          </w:p>
        </w:tc>
        <w:tc>
          <w:tcPr>
            <w:tcW w:type="dxa" w:w="62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Deskripsi Pengisian Wajib</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Evidence ID</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Nomor identifikasi unik bukti (misal: EVD-202609-SRV01-RAM).</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Deskripsi Barang Bukti</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Jenis media, merek, serial number, kapasitas, file hash image.</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Sumber &amp; Lokasi Pengambilan</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Hostname, IP Address, lokasi fisik rak server / meja kerja.</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Waktu Pengambilan</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Hari, tanggal, jam, menit, dan zona waktu (WIB/UTC) sesuai NTP.</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Petugas Pengambil (Collector)</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Nama lengkap, NIK/NIP, dan jabatan analis forensik.</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Nilai Hash Kriptografis</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Checksum SHA-256 dibuat langsung saat proses akuisisi selesai.</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Lokasi Penyimpanan Bukti</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Nomor safe locker atau direktori repository terenkripsi.</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Catatan Serah Terima (Log Transfer)</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Nama pihak penerima, tujuan pemindahan, tanda tangan basah/digital.</w:t>
            </w:r>
          </w:p>
        </w:tc>
      </w:tr>
    </w:tbl>
    <w:p>
      <w:pPr>
        <w:spacing w:before="0" w:after="80"/>
      </w:pPr>
    </w:p>
    <w:p>
      <w:pPr>
        <w:keepNext/>
        <w:spacing w:before="280" w:after="80"/>
      </w:pPr>
      <w:r>
        <w:rPr>
          <w:rFonts w:ascii="Calibri" w:hAnsi="Calibri"/>
          <w:b/>
          <w:color w:val="1F3864"/>
          <w:sz w:val="26"/>
        </w:rPr>
        <w:t>7. Rencana Pengujian Red Team &amp; Purple Team (RTP-001)</w:t>
      </w:r>
    </w:p>
    <w:p>
      <w:pPr>
        <w:spacing w:before="0" w:after="60" w:line="276" w:lineRule="auto"/>
      </w:pPr>
      <w:r>
        <w:rPr>
          <w:rFonts w:ascii="Calibri" w:hAnsi="Calibri"/>
          <w:i w:val="0"/>
          <w:sz w:val="19"/>
        </w:rPr>
        <w:t>Simulasi uji penetrasi tingkat lanjut berbasis adversary emulation menguji ketahanan postur keamanan AuditSphere® menghadapi taktik penyerang nyata sesuai kerangka MITRE ATT&amp;CK dan PTES.</w:t>
      </w:r>
    </w:p>
    <w:p>
      <w:pPr>
        <w:keepNext/>
        <w:spacing w:before="200" w:after="60"/>
      </w:pPr>
      <w:r>
        <w:rPr>
          <w:rFonts w:ascii="Calibri" w:hAnsi="Calibri"/>
          <w:b/>
          <w:color w:val="2E5597"/>
          <w:sz w:val="22"/>
        </w:rPr>
        <w:t>7.1 Struktur Tim Pengujian</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2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Tim</w:t>
            </w:r>
          </w:p>
        </w:tc>
        <w:tc>
          <w:tcPr>
            <w:tcW w:type="dxa" w:w="4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Peran &amp; Tanggung Jawab Operasional</w:t>
            </w:r>
          </w:p>
        </w:tc>
        <w:tc>
          <w:tcPr>
            <w:tcW w:type="dxa" w:w="24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Komposisi Personel</w:t>
            </w:r>
          </w:p>
        </w:tc>
      </w:tr>
      <w:tr>
        <w:trPr>
          <w:cantSplit/>
        </w:trPr>
        <w:tc>
          <w:tcPr>
            <w:tcW w:type="dxa" w:w="2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Red Team (Attacker)</w:t>
            </w:r>
          </w:p>
        </w:tc>
        <w:tc>
          <w:tcPr>
            <w:tcW w:type="dxa" w:w="4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Melakukan simulasi serangan ofensif end-to-end tanpa pemberitahuan jadwal rinci ke defender.</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Lead Pentester, Exploit Developer, Social Engineer.</w:t>
            </w:r>
          </w:p>
        </w:tc>
      </w:tr>
      <w:tr>
        <w:trPr>
          <w:cantSplit/>
        </w:trPr>
        <w:tc>
          <w:tcPr>
            <w:tcW w:type="dxa" w:w="2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Blue Team (Defender)</w:t>
            </w:r>
          </w:p>
        </w:tc>
        <w:tc>
          <w:tcPr>
            <w:tcW w:type="dxa" w:w="4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Memantau deteksi SIEM, memburu ancaman (threat hunting), dan merespons insiden.</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SOC Analyst L1-L3, Incident Responder, SecOps.</w:t>
            </w:r>
          </w:p>
        </w:tc>
      </w:tr>
      <w:tr>
        <w:trPr>
          <w:cantSplit/>
        </w:trPr>
        <w:tc>
          <w:tcPr>
            <w:tcW w:type="dxa" w:w="2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White Team (Wasit/Pengawas)</w:t>
            </w:r>
          </w:p>
        </w:tc>
        <w:tc>
          <w:tcPr>
            <w:tcW w:type="dxa" w:w="4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Mengawasi jalannya exercise, memastikan kepatuhan RoE, de-eskalasi krisis, emergency stop.</w:t>
            </w:r>
          </w:p>
        </w:tc>
        <w:tc>
          <w:tcPr>
            <w:tcW w:type="dxa" w:w="24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 CISO, Legal Counsel, DevOps Lead.</w:t>
            </w:r>
          </w:p>
        </w:tc>
      </w:tr>
    </w:tbl>
    <w:p>
      <w:pPr>
        <w:spacing w:before="0" w:after="80"/>
      </w:pPr>
    </w:p>
    <w:p>
      <w:pPr>
        <w:keepNext/>
        <w:spacing w:before="200" w:after="60"/>
      </w:pPr>
      <w:r>
        <w:rPr>
          <w:rFonts w:ascii="Calibri" w:hAnsi="Calibri"/>
          <w:b/>
          <w:color w:val="2E5597"/>
          <w:sz w:val="22"/>
        </w:rPr>
        <w:t>7.2 Alur Kolaboratif Purple Team</w:t>
      </w:r>
    </w:p>
    <w:p>
      <w:pPr>
        <w:spacing w:before="0" w:after="60" w:line="276" w:lineRule="auto"/>
      </w:pPr>
      <w:r>
        <w:rPr>
          <w:rFonts w:ascii="Calibri" w:hAnsi="Calibri"/>
          <w:i w:val="0"/>
          <w:sz w:val="19"/>
        </w:rPr>
        <w:t>Exercise Purple Team mempertemukan Red Team dan Blue Team secara terbuka untuk mengevaluasi setiap teknik serangan (TTP) secara langsung:</w:t>
      </w:r>
    </w:p>
    <w:p>
      <w:pPr>
        <w:pStyle w:val="ListBullet"/>
        <w:spacing w:before="0" w:after="40" w:line="276" w:lineRule="auto"/>
      </w:pPr>
      <w:r>
        <w:rPr>
          <w:rFonts w:ascii="Calibri" w:hAnsi="Calibri"/>
          <w:b/>
          <w:sz w:val="19"/>
        </w:rPr>
        <w:t xml:space="preserve">Langkah 1 (Attack): </w:t>
      </w:r>
      <w:r>
        <w:rPr>
          <w:rFonts w:ascii="Calibri" w:hAnsi="Calibri"/>
          <w:sz w:val="19"/>
        </w:rPr>
        <w:t>Red Team mengeksekusi teknik ofensif spesifik (misal: Kerberoasting atau DLL Sideloading).</w:t>
      </w:r>
    </w:p>
    <w:p>
      <w:pPr>
        <w:pStyle w:val="ListBullet"/>
        <w:spacing w:before="0" w:after="40" w:line="276" w:lineRule="auto"/>
      </w:pPr>
      <w:r>
        <w:rPr>
          <w:rFonts w:ascii="Calibri" w:hAnsi="Calibri"/>
          <w:b/>
          <w:sz w:val="19"/>
        </w:rPr>
        <w:t xml:space="preserve">Langkah 2 (Detect): </w:t>
      </w:r>
      <w:r>
        <w:rPr>
          <w:rFonts w:ascii="Calibri" w:hAnsi="Calibri"/>
          <w:sz w:val="19"/>
        </w:rPr>
        <w:t>Blue Team memverifikasi apakah telemetri sistem (EDR/SIEM) menghasilkan alert yang akurat.</w:t>
      </w:r>
    </w:p>
    <w:p>
      <w:pPr>
        <w:pStyle w:val="ListBullet"/>
        <w:spacing w:before="0" w:after="40" w:line="276" w:lineRule="auto"/>
      </w:pPr>
      <w:r>
        <w:rPr>
          <w:rFonts w:ascii="Calibri" w:hAnsi="Calibri"/>
          <w:b/>
          <w:sz w:val="19"/>
        </w:rPr>
        <w:t xml:space="preserve">Langkah 3 (Tune): </w:t>
      </w:r>
      <w:r>
        <w:rPr>
          <w:rFonts w:ascii="Calibri" w:hAnsi="Calibri"/>
          <w:sz w:val="19"/>
        </w:rPr>
        <w:t>Jika serangan tidak terdeteksi (blindspot), kedua tim berkolaborasi menyusun detection rule baru.</w:t>
      </w:r>
    </w:p>
    <w:p>
      <w:pPr>
        <w:pStyle w:val="ListBullet"/>
        <w:spacing w:before="0" w:after="40" w:line="276" w:lineRule="auto"/>
      </w:pPr>
      <w:r>
        <w:rPr>
          <w:rFonts w:ascii="Calibri" w:hAnsi="Calibri"/>
          <w:b/>
          <w:sz w:val="19"/>
        </w:rPr>
        <w:t xml:space="preserve">Langkah 4 (Validate): </w:t>
      </w:r>
      <w:r>
        <w:rPr>
          <w:rFonts w:ascii="Calibri" w:hAnsi="Calibri"/>
          <w:sz w:val="19"/>
        </w:rPr>
        <w:t>Uji coba ulang (re-test) untuk memastikan rule deteksi baru bekerja 100% tanpa false positive.</w:t>
      </w:r>
    </w:p>
    <w:p>
      <w:pPr>
        <w:keepNext/>
        <w:spacing w:before="280" w:after="80"/>
      </w:pPr>
      <w:r>
        <w:rPr>
          <w:rFonts w:ascii="Calibri" w:hAnsi="Calibri"/>
          <w:b/>
          <w:color w:val="1F3864"/>
          <w:sz w:val="26"/>
        </w:rPr>
        <w:t>8. Prosedur Intelijen Ancaman Siber (Threat Intelligence Procedure - TIP-001)</w:t>
      </w:r>
    </w:p>
    <w:p>
      <w:pPr>
        <w:spacing w:before="0" w:after="60" w:line="276" w:lineRule="auto"/>
      </w:pPr>
      <w:r>
        <w:rPr>
          <w:rFonts w:ascii="Calibri" w:hAnsi="Calibri"/>
          <w:i w:val="0"/>
          <w:sz w:val="19"/>
        </w:rPr>
        <w:t>Menyelenggarakan proses pengumpulan, analisis, dan pengoperasian data ancaman siber (CTI) guna mengantisipasi serangan sebelum terjadi insiden (ISO/IEC 27001:2022 A.5.7).</w:t>
      </w:r>
    </w:p>
    <w:p>
      <w:pPr>
        <w:keepNext/>
        <w:spacing w:before="200" w:after="60"/>
      </w:pPr>
      <w:r>
        <w:rPr>
          <w:rFonts w:ascii="Calibri" w:hAnsi="Calibri"/>
          <w:b/>
          <w:color w:val="2E5597"/>
          <w:sz w:val="22"/>
        </w:rPr>
        <w:t>8.1 Empat Tingkatan Cyber Threat Intelligence (CTI)</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Tingkatan CTI</w:t>
            </w:r>
          </w:p>
        </w:tc>
        <w:tc>
          <w:tcPr>
            <w:tcW w:type="dxa" w:w="29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Fokus Informasi Ancaman</w:t>
            </w:r>
          </w:p>
        </w:tc>
        <w:tc>
          <w:tcPr>
            <w:tcW w:type="dxa" w:w="2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Target Audiens</w:t>
            </w:r>
          </w:p>
        </w:tc>
        <w:tc>
          <w:tcPr>
            <w:tcW w:type="dxa" w:w="2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Format &amp; Pemanfaatan</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Strategic</w:t>
            </w:r>
          </w:p>
        </w:tc>
        <w:tc>
          <w:tcPr>
            <w:tcW w:type="dxa" w:w="2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Tren geopolitik, motivasi aktor, dampak bisnis.</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Board, CISO, Direksi</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Laporan eksekutif bulanan/tahunan.</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Operational</w:t>
            </w:r>
          </w:p>
        </w:tc>
        <w:tc>
          <w:tcPr>
            <w:tcW w:type="dxa" w:w="2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Kampanye serangan aktif, aktor penarget sektor audit.</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Manager, SOC Lead</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Threat briefing &amp; profil aktor.</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Tactical</w:t>
            </w:r>
          </w:p>
        </w:tc>
        <w:tc>
          <w:tcPr>
            <w:tcW w:type="dxa" w:w="2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Taktik, Teknik, dan Prosedur (TTP) aktor.</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Analyst, Threat Hunter</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Mapping MITRE ATT&amp;CK &amp; hunting hypothesis.</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Technical</w:t>
            </w:r>
          </w:p>
        </w:tc>
        <w:tc>
          <w:tcPr>
            <w:tcW w:type="dxa" w:w="2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Indikator spesifik: IP jahat, domain C2, hash malware.</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SOC Tier 1, Firewall/WAF Admin</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Automated IoC feed via STIX/TAXII ke SIEM.</w:t>
            </w:r>
          </w:p>
        </w:tc>
      </w:tr>
    </w:tbl>
    <w:p>
      <w:pPr>
        <w:spacing w:before="0" w:after="80"/>
      </w:pPr>
    </w:p>
    <w:p>
      <w:pPr>
        <w:keepNext/>
        <w:spacing w:before="200" w:after="60"/>
      </w:pPr>
      <w:r>
        <w:rPr>
          <w:rFonts w:ascii="Calibri" w:hAnsi="Calibri"/>
          <w:b/>
          <w:color w:val="2E5597"/>
          <w:sz w:val="22"/>
        </w:rPr>
        <w:t>8.2 Integrasi Threat Intelligence Platform (TIP)</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Platform / Sumber</w:t>
            </w:r>
          </w:p>
        </w:tc>
        <w:tc>
          <w:tcPr>
            <w:tcW w:type="dxa" w:w="4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Peran dalam Arsitektur</w:t>
            </w:r>
          </w:p>
        </w:tc>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Status Integrasi</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MISP (Malware Information Sharing Platform)</w:t>
            </w:r>
          </w:p>
        </w:tc>
        <w:tc>
          <w:tcPr>
            <w:tcW w:type="dxa" w:w="4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Penyimpanan terpusat IoC internal dan berbagi intelijen komunitas.</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Aktif (Internal Lab)</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AlienVault OTX (Open Threat Exchange)</w:t>
            </w:r>
          </w:p>
        </w:tc>
        <w:tc>
          <w:tcPr>
            <w:tcW w:type="dxa" w:w="4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Feed indikator ancaman global berbasis komunitas secara real-time.</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Aktif (Auto-Ingest)</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VirusTotal Enterprise API</w:t>
            </w:r>
          </w:p>
        </w:tc>
        <w:tc>
          <w:tcPr>
            <w:tcW w:type="dxa" w:w="4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Enrichment hash file, URL scanner, dan domain reputation.</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Aktif (Automated Triage)</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Feed BSSN &amp; Sektor Finansial</w:t>
            </w:r>
          </w:p>
        </w:tc>
        <w:tc>
          <w:tcPr>
            <w:tcW w:type="dxa" w:w="4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Advisory resmi kerentanan dan ancaman siber nasional.</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Rutin (Advisory)</w:t>
            </w:r>
          </w:p>
        </w:tc>
      </w:tr>
    </w:tbl>
    <w:p>
      <w:pPr>
        <w:spacing w:before="0" w:after="80"/>
      </w:pPr>
    </w:p>
    <w:p>
      <w:pPr>
        <w:keepNext/>
        <w:spacing w:before="280" w:after="80"/>
      </w:pPr>
      <w:r>
        <w:rPr>
          <w:rFonts w:ascii="Calibri" w:hAnsi="Calibri"/>
          <w:b/>
          <w:color w:val="1F3864"/>
          <w:sz w:val="26"/>
        </w:rPr>
        <w:t>9. Roadmap Arsitektur Zero Trust 3 Tahun (ZTAR-001)</w:t>
      </w:r>
    </w:p>
    <w:p>
      <w:pPr>
        <w:spacing w:before="0" w:after="60" w:line="276" w:lineRule="auto"/>
      </w:pPr>
      <w:r>
        <w:rPr>
          <w:rFonts w:ascii="Calibri" w:hAnsi="Calibri"/>
          <w:i w:val="0"/>
          <w:sz w:val="19"/>
        </w:rPr>
        <w:t>Transformasi arsitektur keamanan AuditSphere® mengadopsi model Zero Trust Architecture (ZTA) berbasis NIST SP 800-207 dan CISA Zero Trust Maturity Model.</w:t>
      </w:r>
    </w:p>
    <w:p>
      <w:pPr>
        <w:keepNext/>
        <w:spacing w:before="200" w:after="60"/>
      </w:pPr>
      <w:r>
        <w:rPr>
          <w:rFonts w:ascii="Calibri" w:hAnsi="Calibri"/>
          <w:b/>
          <w:color w:val="2E5597"/>
          <w:sz w:val="22"/>
        </w:rPr>
        <w:t>9.1 Tujuh Pilar Zero Trust</w:t>
      </w:r>
    </w:p>
    <w:p>
      <w:pPr>
        <w:pStyle w:val="ListBullet"/>
        <w:spacing w:before="0" w:after="40" w:line="276" w:lineRule="auto"/>
      </w:pPr>
      <w:r>
        <w:rPr>
          <w:rFonts w:ascii="Calibri" w:hAnsi="Calibri"/>
          <w:b/>
          <w:sz w:val="19"/>
        </w:rPr>
        <w:t xml:space="preserve">1. Identity: </w:t>
      </w:r>
      <w:r>
        <w:rPr>
          <w:rFonts w:ascii="Calibri" w:hAnsi="Calibri"/>
          <w:sz w:val="19"/>
        </w:rPr>
        <w:t>Identitas pengguna divalidasi terus-menerus melalui SSO terpusat, MFA berbasis risiko, dan PAM.</w:t>
      </w:r>
    </w:p>
    <w:p>
      <w:pPr>
        <w:pStyle w:val="ListBullet"/>
        <w:spacing w:before="0" w:after="40" w:line="276" w:lineRule="auto"/>
      </w:pPr>
      <w:r>
        <w:rPr>
          <w:rFonts w:ascii="Calibri" w:hAnsi="Calibri"/>
          <w:b/>
          <w:sz w:val="19"/>
        </w:rPr>
        <w:t xml:space="preserve">2. Device: </w:t>
      </w:r>
      <w:r>
        <w:rPr>
          <w:rFonts w:ascii="Calibri" w:hAnsi="Calibri"/>
          <w:sz w:val="19"/>
        </w:rPr>
        <w:t>Perangkat yang mengakses sistem wajib terdaftar di MDM dan lolos pemeriksaan postur kesehatan EDR.</w:t>
      </w:r>
    </w:p>
    <w:p>
      <w:pPr>
        <w:pStyle w:val="ListBullet"/>
        <w:spacing w:before="0" w:after="40" w:line="276" w:lineRule="auto"/>
      </w:pPr>
      <w:r>
        <w:rPr>
          <w:rFonts w:ascii="Calibri" w:hAnsi="Calibri"/>
          <w:b/>
          <w:sz w:val="19"/>
        </w:rPr>
        <w:t xml:space="preserve">3. Network: </w:t>
      </w:r>
      <w:r>
        <w:rPr>
          <w:rFonts w:ascii="Calibri" w:hAnsi="Calibri"/>
          <w:sz w:val="19"/>
        </w:rPr>
        <w:t>Jaringan disegmentasi secara mikroskopis (micro-segmentation) dan diakses via SDP/ZTNA, bukan VPN tradisional.</w:t>
      </w:r>
    </w:p>
    <w:p>
      <w:pPr>
        <w:pStyle w:val="ListBullet"/>
        <w:spacing w:before="0" w:after="40" w:line="276" w:lineRule="auto"/>
      </w:pPr>
      <w:r>
        <w:rPr>
          <w:rFonts w:ascii="Calibri" w:hAnsi="Calibri"/>
          <w:b/>
          <w:sz w:val="19"/>
        </w:rPr>
        <w:t xml:space="preserve">4. Application: </w:t>
      </w:r>
      <w:r>
        <w:rPr>
          <w:rFonts w:ascii="Calibri" w:hAnsi="Calibri"/>
          <w:sz w:val="19"/>
        </w:rPr>
        <w:t>Aplikasi diamankan pada level API gateway, service mesh terenkripsi mTLS, dan runtime container protection.</w:t>
      </w:r>
    </w:p>
    <w:p>
      <w:pPr>
        <w:pStyle w:val="ListBullet"/>
        <w:spacing w:before="0" w:after="40" w:line="276" w:lineRule="auto"/>
      </w:pPr>
      <w:r>
        <w:rPr>
          <w:rFonts w:ascii="Calibri" w:hAnsi="Calibri"/>
          <w:b/>
          <w:sz w:val="19"/>
        </w:rPr>
        <w:t xml:space="preserve">5. Data: </w:t>
      </w:r>
      <w:r>
        <w:rPr>
          <w:rFonts w:ascii="Calibri" w:hAnsi="Calibri"/>
          <w:sz w:val="19"/>
        </w:rPr>
        <w:t>Data dilindungi sesuai klasifikasi dengan enkripsi end-to-end, DLP, dan kontrol hak akses granular.</w:t>
      </w:r>
    </w:p>
    <w:p>
      <w:pPr>
        <w:pStyle w:val="ListBullet"/>
        <w:spacing w:before="0" w:after="40" w:line="276" w:lineRule="auto"/>
      </w:pPr>
      <w:r>
        <w:rPr>
          <w:rFonts w:ascii="Calibri" w:hAnsi="Calibri"/>
          <w:b/>
          <w:sz w:val="19"/>
        </w:rPr>
        <w:t xml:space="preserve">6. Visibility &amp; Analytics: </w:t>
      </w:r>
      <w:r>
        <w:rPr>
          <w:rFonts w:ascii="Calibri" w:hAnsi="Calibri"/>
          <w:sz w:val="19"/>
        </w:rPr>
        <w:t>Seluruh telemetri aktivitas diawasi secara terpusat oleh SIEM/UEBA untuk deteksi anomali real-time.</w:t>
      </w:r>
    </w:p>
    <w:p>
      <w:pPr>
        <w:pStyle w:val="ListBullet"/>
        <w:spacing w:before="0" w:after="40" w:line="276" w:lineRule="auto"/>
      </w:pPr>
      <w:r>
        <w:rPr>
          <w:rFonts w:ascii="Calibri" w:hAnsi="Calibri"/>
          <w:b/>
          <w:sz w:val="19"/>
        </w:rPr>
        <w:t xml:space="preserve">7. Automation &amp; Orchestration: </w:t>
      </w:r>
      <w:r>
        <w:rPr>
          <w:rFonts w:ascii="Calibri" w:hAnsi="Calibri"/>
          <w:sz w:val="19"/>
        </w:rPr>
        <w:t>Respons otomatis terhadap ancaman dijalankan melalui platform SOAR untuk meminimalkan waktu respon.</w:t>
      </w:r>
    </w:p>
    <w:p>
      <w:pPr>
        <w:keepNext/>
        <w:spacing w:before="200" w:after="60"/>
      </w:pPr>
      <w:r>
        <w:rPr>
          <w:rFonts w:ascii="Calibri" w:hAnsi="Calibri"/>
          <w:b/>
          <w:color w:val="2E5597"/>
          <w:sz w:val="22"/>
        </w:rPr>
        <w:t>9.2 Roadmap Implementasi 3 Tahun</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Fase / Periode</w:t>
            </w:r>
          </w:p>
        </w:tc>
        <w:tc>
          <w:tcPr>
            <w:tcW w:type="dxa" w:w="26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Inisiatif Pilar Utama</w:t>
            </w:r>
          </w:p>
        </w:tc>
        <w:tc>
          <w:tcPr>
            <w:tcW w:type="dxa" w:w="2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Deliverables / Output Kunci</w:t>
            </w:r>
          </w:p>
        </w:tc>
        <w:tc>
          <w:tcPr>
            <w:tcW w:type="dxa" w:w="1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Target Kematangan</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Tahun 1 (Foundation)</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Identity, Device &amp; Network Foundation</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Penerapan 100% MFA, EDR pada seluruh endpoint, mikrosegmentasi jaringan inti.</w:t>
            </w:r>
          </w:p>
        </w:tc>
        <w:tc>
          <w:tcPr>
            <w:tcW w:type="dxa" w:w="16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Level 2 (Initial)</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Tahun 2 (Advanced)</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Application, Data &amp; Visibility Expansion</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PEP API Gateway, klasifikasi data &amp; DLP, implementasi SIEM/UEBA terpusat.</w:t>
            </w:r>
          </w:p>
        </w:tc>
        <w:tc>
          <w:tcPr>
            <w:tcW w:type="dxa" w:w="16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Level 3 (Advanced)</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Tahun 3 (Optimization)</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Automation, SOAR &amp; Continuous Verification</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Orkestrasi SOAR otomatis, continuous risk-based auth, optimasi penuh Zero Trust.</w:t>
            </w:r>
          </w:p>
        </w:tc>
        <w:tc>
          <w:tcPr>
            <w:tcW w:type="dxa" w:w="16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Level 4 (Optimal)</w:t>
            </w:r>
          </w:p>
        </w:tc>
      </w:tr>
    </w:tbl>
    <w:p>
      <w:pPr>
        <w:spacing w:before="0" w:after="80"/>
      </w:pPr>
    </w:p>
    <w:p>
      <w:pPr>
        <w:keepNext/>
        <w:spacing w:before="280" w:after="80"/>
      </w:pPr>
      <w:r>
        <w:rPr>
          <w:rFonts w:ascii="Calibri" w:hAnsi="Calibri"/>
          <w:b/>
          <w:color w:val="1F3864"/>
          <w:sz w:val="26"/>
        </w:rPr>
        <w:t>10. Tindak Lanjut Non-Conformity</w:t>
      </w:r>
    </w:p>
    <w:p>
      <w:pPr>
        <w:spacing w:before="0" w:after="60" w:line="276" w:lineRule="auto"/>
      </w:pPr>
      <w:r>
        <w:rPr>
          <w:rFonts w:ascii="Calibri" w:hAnsi="Calibri"/>
          <w:i w:val="0"/>
          <w:sz w:val="19"/>
        </w:rPr>
        <w:t>Setiap ketidaksesuaian (NC) yang ditemukan selama pengujian Advanced Security dicatat dan dikelola melalui tabel berikut:</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1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No Item</w:t>
            </w:r>
          </w:p>
        </w:tc>
        <w:tc>
          <w:tcPr>
            <w:tcW w:type="dxa" w:w="32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Uraian Temuan / Ketidaksesuaian</w:t>
            </w:r>
          </w:p>
        </w:tc>
        <w:tc>
          <w:tcPr>
            <w:tcW w:type="dxa" w:w="11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Severity</w:t>
            </w:r>
          </w:p>
        </w:tc>
        <w:tc>
          <w:tcPr>
            <w:tcW w:type="dxa" w:w="13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PIC Remediasi</w:t>
            </w:r>
          </w:p>
        </w:tc>
        <w:tc>
          <w:tcPr>
            <w:tcW w:type="dxa" w:w="1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Target Tanggal</w:t>
            </w:r>
          </w:p>
        </w:tc>
        <w:tc>
          <w:tcPr>
            <w:tcW w:type="dxa" w:w="1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Status / Retest</w:t>
            </w:r>
          </w:p>
        </w:tc>
      </w:tr>
      <w:tr>
        <w:tc>
          <w:tcPr>
            <w:tcW w:type="dxa" w:w="1504"/>
          </w:tcPr>
          <w:p>
            <w:r>
              <w:t>NC-01</w:t>
            </w:r>
          </w:p>
        </w:tc>
        <w:tc>
          <w:tcPr>
            <w:tcW w:type="dxa" w:w="1504"/>
          </w:tcPr>
          <w:p>
            <w:r>
              <w:t>Program Bug Bounty publik belum diluncurkan pada platform pihak ketiga (HackerOne/Bugcrowd) [Item 2]</w:t>
            </w:r>
          </w:p>
        </w:tc>
        <w:tc>
          <w:tcPr>
            <w:tcW w:type="dxa" w:w="1504"/>
          </w:tcPr>
          <w:p>
            <w:r>
              <w:t>Medium</w:t>
            </w:r>
          </w:p>
        </w:tc>
        <w:tc>
          <w:tcPr>
            <w:tcW w:type="dxa" w:w="1504"/>
          </w:tcPr>
          <w:p>
            <w:r>
              <w:t>Security Officer</w:t>
            </w:r>
          </w:p>
        </w:tc>
        <w:tc>
          <w:tcPr>
            <w:tcW w:type="dxa" w:w="1504"/>
          </w:tcPr>
          <w:p>
            <w:r>
              <w:t>60 Hari</w:t>
            </w:r>
          </w:p>
        </w:tc>
        <w:tc>
          <w:tcPr>
            <w:tcW w:type="dxa" w:w="1504"/>
          </w:tcPr>
          <w:p>
            <w:r>
              <w:t>Open</w:t>
            </w:r>
          </w:p>
        </w:tc>
      </w:tr>
      <w:tr>
        <w:tc>
          <w:tcPr>
            <w:tcW w:type="dxa" w:w="1504"/>
          </w:tcPr>
          <w:p>
            <w:r>
              <w:t>NC-02</w:t>
            </w:r>
          </w:p>
        </w:tc>
        <w:tc>
          <w:tcPr>
            <w:tcW w:type="dxa" w:w="1504"/>
          </w:tcPr>
          <w:p>
            <w:r>
              <w:t>Simulasi serangan adversary Red Team / Purple Team belum dieksekusi di server produksi auditsphere.app [Item 33]</w:t>
            </w:r>
          </w:p>
        </w:tc>
        <w:tc>
          <w:tcPr>
            <w:tcW w:type="dxa" w:w="1504"/>
          </w:tcPr>
          <w:p>
            <w:r>
              <w:t>High</w:t>
            </w:r>
          </w:p>
        </w:tc>
        <w:tc>
          <w:tcPr>
            <w:tcW w:type="dxa" w:w="1504"/>
          </w:tcPr>
          <w:p>
            <w:r>
              <w:t>Lead Pentester</w:t>
            </w:r>
          </w:p>
        </w:tc>
        <w:tc>
          <w:tcPr>
            <w:tcW w:type="dxa" w:w="1504"/>
          </w:tcPr>
          <w:p>
            <w:r>
              <w:t>90 Hari</w:t>
            </w:r>
          </w:p>
        </w:tc>
        <w:tc>
          <w:tcPr>
            <w:tcW w:type="dxa" w:w="1504"/>
          </w:tcPr>
          <w:p>
            <w:r>
              <w:t>Open</w:t>
            </w:r>
          </w:p>
        </w:tc>
      </w:tr>
      <w:tr>
        <w:tc>
          <w:tcPr>
            <w:tcW w:type="dxa" w:w="1504"/>
          </w:tcPr>
          <w:p>
            <w:r>
              <w:t>NC-03</w:t>
            </w:r>
          </w:p>
        </w:tc>
        <w:tc>
          <w:tcPr>
            <w:tcW w:type="dxa" w:w="1504"/>
          </w:tcPr>
          <w:p>
            <w:r>
              <w:t>Integrasi automated Threat Intelligence Feed (BSSN/OpenCTI) ke firewall perimeter belum aktif [Item 40]</w:t>
            </w:r>
          </w:p>
        </w:tc>
        <w:tc>
          <w:tcPr>
            <w:tcW w:type="dxa" w:w="1504"/>
          </w:tcPr>
          <w:p>
            <w:r>
              <w:t>Medium</w:t>
            </w:r>
          </w:p>
        </w:tc>
        <w:tc>
          <w:tcPr>
            <w:tcW w:type="dxa" w:w="1504"/>
          </w:tcPr>
          <w:p>
            <w:r>
              <w:t>SOC Lead</w:t>
            </w:r>
          </w:p>
        </w:tc>
        <w:tc>
          <w:tcPr>
            <w:tcW w:type="dxa" w:w="1504"/>
          </w:tcPr>
          <w:p>
            <w:r>
              <w:t>60 Hari</w:t>
            </w:r>
          </w:p>
        </w:tc>
        <w:tc>
          <w:tcPr>
            <w:tcW w:type="dxa" w:w="1504"/>
          </w:tcPr>
          <w:p>
            <w:r>
              <w:t>Open</w:t>
            </w:r>
          </w:p>
        </w:tc>
      </w:tr>
      <w:tr>
        <w:tc>
          <w:tcPr>
            <w:tcW w:type="dxa" w:w="1504"/>
          </w:tcPr>
          <w:p>
            <w:r>
              <w:t>NC-04</w:t>
            </w:r>
          </w:p>
        </w:tc>
        <w:tc>
          <w:tcPr>
            <w:tcW w:type="dxa" w:w="1504"/>
          </w:tcPr>
          <w:p>
            <w:r>
              <w:t>Toolkit akuisisi memori RAM forensik (LiME/Volatility) belum terpasang pada VPS produksi [Item 17]</w:t>
            </w:r>
          </w:p>
        </w:tc>
        <w:tc>
          <w:tcPr>
            <w:tcW w:type="dxa" w:w="1504"/>
          </w:tcPr>
          <w:p>
            <w:r>
              <w:t>Medium</w:t>
            </w:r>
          </w:p>
        </w:tc>
        <w:tc>
          <w:tcPr>
            <w:tcW w:type="dxa" w:w="1504"/>
          </w:tcPr>
          <w:p>
            <w:r>
              <w:t>DevOps Lead</w:t>
            </w:r>
          </w:p>
        </w:tc>
        <w:tc>
          <w:tcPr>
            <w:tcW w:type="dxa" w:w="1504"/>
          </w:tcPr>
          <w:p>
            <w:r>
              <w:t>30 Hari</w:t>
            </w:r>
          </w:p>
        </w:tc>
        <w:tc>
          <w:tcPr>
            <w:tcW w:type="dxa" w:w="1504"/>
          </w:tcPr>
          <w:p>
            <w:r>
              <w:t>Open</w:t>
            </w:r>
          </w:p>
        </w:tc>
      </w:tr>
      <w:tr>
        <w:tc>
          <w:tcPr>
            <w:tcW w:type="dxa" w:w="1504"/>
          </w:tcPr>
          <w:p>
            <w:r>
              <w:t>NC-05</w:t>
            </w:r>
          </w:p>
        </w:tc>
        <w:tc>
          <w:tcPr>
            <w:tcW w:type="dxa" w:w="1504"/>
          </w:tcPr>
          <w:p>
            <w:r>
              <w:t>Integrasi otomatis pencatatan temuan bug bounty ke Corporate Risk Register belum terhubung [Item 10]</w:t>
            </w:r>
          </w:p>
        </w:tc>
        <w:tc>
          <w:tcPr>
            <w:tcW w:type="dxa" w:w="1504"/>
          </w:tcPr>
          <w:p>
            <w:r>
              <w:t>Low</w:t>
            </w:r>
          </w:p>
        </w:tc>
        <w:tc>
          <w:tcPr>
            <w:tcW w:type="dxa" w:w="1504"/>
          </w:tcPr>
          <w:p>
            <w:r>
              <w:t>Risk Officer</w:t>
            </w:r>
          </w:p>
        </w:tc>
        <w:tc>
          <w:tcPr>
            <w:tcW w:type="dxa" w:w="1504"/>
          </w:tcPr>
          <w:p>
            <w:r>
              <w:t>60 Hari</w:t>
            </w:r>
          </w:p>
        </w:tc>
        <w:tc>
          <w:tcPr>
            <w:tcW w:type="dxa" w:w="1504"/>
          </w:tcPr>
          <w:p>
            <w:r>
              <w:t>Open</w:t>
            </w:r>
          </w:p>
        </w:tc>
      </w:tr>
      <w:tr>
        <w:tc>
          <w:tcPr>
            <w:tcW w:type="dxa" w:w="1504"/>
          </w:tcPr>
          <w:p>
            <w:r>
              <w:t>NC-06</w:t>
            </w:r>
          </w:p>
        </w:tc>
        <w:tc>
          <w:tcPr>
            <w:tcW w:type="dxa" w:w="1504"/>
          </w:tcPr>
          <w:p>
            <w:r>
              <w:t>Pelatihan formal analisis forensik digital dan sertifikasi penanganan insiden bagi tim SOC/IR belum terlaksana [Item 23]</w:t>
            </w:r>
          </w:p>
        </w:tc>
        <w:tc>
          <w:tcPr>
            <w:tcW w:type="dxa" w:w="1504"/>
          </w:tcPr>
          <w:p>
            <w:r>
              <w:t>Medium</w:t>
            </w:r>
          </w:p>
        </w:tc>
        <w:tc>
          <w:tcPr>
            <w:tcW w:type="dxa" w:w="1504"/>
          </w:tcPr>
          <w:p>
            <w:r>
              <w:t>HR / Security Lead</w:t>
            </w:r>
          </w:p>
        </w:tc>
        <w:tc>
          <w:tcPr>
            <w:tcW w:type="dxa" w:w="1504"/>
          </w:tcPr>
          <w:p>
            <w:r>
              <w:t>90 Hari</w:t>
            </w:r>
          </w:p>
        </w:tc>
        <w:tc>
          <w:tcPr>
            <w:tcW w:type="dxa" w:w="1504"/>
          </w:tcPr>
          <w:p>
            <w:r>
              <w:t>Open</w:t>
            </w:r>
          </w:p>
        </w:tc>
      </w:tr>
      <w:tr>
        <w:tc>
          <w:tcPr>
            <w:tcW w:type="dxa" w:w="1504"/>
          </w:tcPr>
          <w:p>
            <w:r>
              <w:t>NC-07</w:t>
            </w:r>
          </w:p>
        </w:tc>
        <w:tc>
          <w:tcPr>
            <w:tcW w:type="dxa" w:w="1504"/>
          </w:tcPr>
          <w:p>
            <w:r>
              <w:t>Sistem Data Loss Prevention (DLP) otomatis berbasis inspeksi konten belum aktif di API Gateway [Item 57]</w:t>
            </w:r>
          </w:p>
        </w:tc>
        <w:tc>
          <w:tcPr>
            <w:tcW w:type="dxa" w:w="1504"/>
          </w:tcPr>
          <w:p>
            <w:r>
              <w:t>High</w:t>
            </w:r>
          </w:p>
        </w:tc>
        <w:tc>
          <w:tcPr>
            <w:tcW w:type="dxa" w:w="1504"/>
          </w:tcPr>
          <w:p>
            <w:r>
              <w:t>Security Architect</w:t>
            </w:r>
          </w:p>
        </w:tc>
        <w:tc>
          <w:tcPr>
            <w:tcW w:type="dxa" w:w="1504"/>
          </w:tcPr>
          <w:p>
            <w:r>
              <w:t>60 Hari</w:t>
            </w:r>
          </w:p>
        </w:tc>
        <w:tc>
          <w:tcPr>
            <w:tcW w:type="dxa" w:w="1504"/>
          </w:tcPr>
          <w:p>
            <w:r>
              <w:t>Open</w:t>
            </w:r>
          </w:p>
        </w:tc>
      </w:tr>
    </w:tbl>
    <w:p>
      <w:pPr>
        <w:spacing w:before="0" w:after="80"/>
      </w:pPr>
    </w:p>
    <w:p>
      <w:pPr>
        <w:keepNext/>
        <w:spacing w:before="280" w:after="80"/>
      </w:pPr>
      <w:r>
        <w:rPr>
          <w:rFonts w:ascii="Calibri" w:hAnsi="Calibri"/>
          <w:b/>
          <w:color w:val="1F3864"/>
          <w:sz w:val="26"/>
        </w:rPr>
        <w:t>11. Ringkasan Kepatuhan &amp; Matriks Sasaran KPI</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40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Domain Advanced Security</w:t>
            </w:r>
          </w:p>
        </w:tc>
        <w:tc>
          <w:tcPr>
            <w:tcW w:type="dxa" w:w="1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Total Item</w:t>
            </w:r>
          </w:p>
        </w:tc>
        <w:tc>
          <w:tcPr>
            <w:tcW w:type="dxa" w:w="1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C</w:t>
            </w:r>
          </w:p>
        </w:tc>
        <w:tc>
          <w:tcPr>
            <w:tcW w:type="dxa" w:w="1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NC</w:t>
            </w:r>
          </w:p>
        </w:tc>
        <w:tc>
          <w:tcPr>
            <w:tcW w:type="dxa" w:w="1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OFI</w:t>
            </w:r>
          </w:p>
        </w:tc>
        <w:tc>
          <w:tcPr>
            <w:tcW w:type="dxa" w:w="1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N/A</w:t>
            </w:r>
          </w:p>
        </w:tc>
      </w:tr>
      <w:tr>
        <w:trPr>
          <w:cantSplit/>
        </w:trPr>
        <w:tc>
          <w:tcPr>
            <w:tcW w:type="dxa" w:w="4026"/>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Domain 1: Bug Bounty &amp; Vulnerability Disclosure</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12</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0</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2</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10</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0</w:t>
            </w:r>
          </w:p>
        </w:tc>
      </w:tr>
      <w:tr>
        <w:trPr>
          <w:cantSplit/>
        </w:trPr>
        <w:tc>
          <w:tcPr>
            <w:tcW w:type="dxa" w:w="4026"/>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Domain 2: Forensic Readiness &amp; Chain of Custody</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12</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7</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2</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2</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1</w:t>
            </w:r>
          </w:p>
        </w:tc>
      </w:tr>
      <w:tr>
        <w:trPr>
          <w:cantSplit/>
        </w:trPr>
        <w:tc>
          <w:tcPr>
            <w:tcW w:type="dxa" w:w="4026"/>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Domain 3: Red Team &amp; Purple Team Testing</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12</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6</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1</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5</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0</w:t>
            </w:r>
          </w:p>
        </w:tc>
      </w:tr>
      <w:tr>
        <w:trPr>
          <w:cantSplit/>
        </w:trPr>
        <w:tc>
          <w:tcPr>
            <w:tcW w:type="dxa" w:w="4026"/>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Domain 4: Cyber Threat Intelligence &amp; Sharing</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12</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7</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1</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4</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0</w:t>
            </w:r>
          </w:p>
        </w:tc>
      </w:tr>
      <w:tr>
        <w:trPr>
          <w:cantSplit/>
        </w:trPr>
        <w:tc>
          <w:tcPr>
            <w:tcW w:type="dxa" w:w="4026"/>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Domain 5: Zero Trust Architecture</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12</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9</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1</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2</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0</w:t>
            </w:r>
          </w:p>
        </w:tc>
      </w:tr>
      <w:tr>
        <w:trPr>
          <w:cantSplit/>
        </w:trPr>
        <w:tc>
          <w:tcPr>
            <w:tcW w:type="dxa" w:w="4026"/>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TOTAL ADVANCED SECURITY CONTROLS</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60</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29</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7</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23</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r>
              <w:t>1</w:t>
            </w:r>
          </w:p>
        </w:tc>
      </w:tr>
    </w:tbl>
    <w:p>
      <w:pPr>
        <w:spacing w:before="0" w:after="80"/>
      </w:pPr>
    </w:p>
    <w:p>
      <w:pPr>
        <w:keepNext/>
        <w:spacing w:before="200" w:after="60"/>
      </w:pPr>
      <w:r>
        <w:rPr>
          <w:rFonts w:ascii="Calibri" w:hAnsi="Calibri"/>
          <w:b/>
          <w:color w:val="2E5597"/>
          <w:sz w:val="22"/>
        </w:rPr>
        <w:t>Target Key Performance Indicators (KPI) Operasional</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Indikator Kinerja Utama (Security Metric)</w:t>
            </w:r>
          </w:p>
        </w:tc>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Target Standar</w:t>
            </w:r>
          </w:p>
        </w:tc>
        <w:tc>
          <w:tcPr>
            <w:tcW w:type="dxa" w:w="39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Metode Pengukuran</w:t>
            </w:r>
          </w:p>
        </w:tc>
      </w:tr>
      <w:tr>
        <w:trPr>
          <w:cantSplit/>
        </w:trPr>
        <w:tc>
          <w:tcPr>
            <w:tcW w:type="dxa" w:w="3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Waktu Triage Bug Bounty (Time-to-Triage)</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 3 Hari Kerja</w:t>
            </w:r>
          </w:p>
        </w:tc>
        <w:tc>
          <w:tcPr>
            <w:tcW w:type="dxa" w:w="3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Metrik respon tiket platform bug bounty.</w:t>
            </w:r>
          </w:p>
        </w:tc>
      </w:tr>
      <w:tr>
        <w:trPr>
          <w:cantSplit/>
        </w:trPr>
        <w:tc>
          <w:tcPr>
            <w:tcW w:type="dxa" w:w="3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Integritas Bukti Forensik (Hash Integrity)</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100% Valid</w:t>
            </w:r>
          </w:p>
        </w:tc>
        <w:tc>
          <w:tcPr>
            <w:tcW w:type="dxa" w:w="3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Verifikasi kecocokan hash SHA-256 pada bukti digital.</w:t>
            </w:r>
          </w:p>
        </w:tc>
      </w:tr>
      <w:tr>
        <w:trPr>
          <w:cantSplit/>
        </w:trPr>
        <w:tc>
          <w:tcPr>
            <w:tcW w:type="dxa" w:w="3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Tingkat Deteksi Serangan (Detection Rate)</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 80%</w:t>
            </w:r>
          </w:p>
        </w:tc>
        <w:tc>
          <w:tcPr>
            <w:tcW w:type="dxa" w:w="3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Hasil exercise simulasi Purple Team tahunan.</w:t>
            </w:r>
          </w:p>
        </w:tc>
      </w:tr>
      <w:tr>
        <w:trPr>
          <w:cantSplit/>
        </w:trPr>
        <w:tc>
          <w:tcPr>
            <w:tcW w:type="dxa" w:w="3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Mean Time to Detect (MTTD)</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&lt; 1 Jam</w:t>
            </w:r>
          </w:p>
        </w:tc>
        <w:tc>
          <w:tcPr>
            <w:tcW w:type="dxa" w:w="3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Waktu dari serangan Red Team hingga alert SOC terpicu.</w:t>
            </w:r>
          </w:p>
        </w:tc>
      </w:tr>
      <w:tr>
        <w:trPr>
          <w:cantSplit/>
        </w:trPr>
        <w:tc>
          <w:tcPr>
            <w:tcW w:type="dxa" w:w="3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Mean Time to Respond (MTTR)</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&lt; 4 Jam</w:t>
            </w:r>
          </w:p>
        </w:tc>
        <w:tc>
          <w:tcPr>
            <w:tcW w:type="dxa" w:w="3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Waktu penahanan (containment) insiden oleh tim IR.</w:t>
            </w:r>
          </w:p>
        </w:tc>
      </w:tr>
      <w:tr>
        <w:trPr>
          <w:cantSplit/>
        </w:trPr>
        <w:tc>
          <w:tcPr>
            <w:tcW w:type="dxa" w:w="3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Ingesti &amp; Aksi IoC Ancaman (Actioned CTI)</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 90%</w:t>
            </w:r>
          </w:p>
        </w:tc>
        <w:tc>
          <w:tcPr>
            <w:tcW w:type="dxa" w:w="3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Proporsi indikator ancaman relevan yang diblokir otomatis.</w:t>
            </w:r>
          </w:p>
        </w:tc>
      </w:tr>
      <w:tr>
        <w:trPr>
          <w:cantSplit/>
        </w:trPr>
        <w:tc>
          <w:tcPr>
            <w:tcW w:type="dxa" w:w="3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Adopsi Multi-Factor Authentication (MFA)</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100% Karyawan</w:t>
            </w:r>
          </w:p>
        </w:tc>
        <w:tc>
          <w:tcPr>
            <w:tcW w:type="dxa" w:w="3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Audit kepatuhan IAM/SSO bagi seluruh staf.</w:t>
            </w:r>
          </w:p>
        </w:tc>
      </w:tr>
    </w:tbl>
    <w:p>
      <w:pPr>
        <w:spacing w:before="0" w:after="80"/>
      </w:pPr>
    </w:p>
    <w:p>
      <w:pPr>
        <w:keepNext/>
        <w:spacing w:before="280" w:after="80"/>
      </w:pPr>
      <w:r>
        <w:rPr>
          <w:rFonts w:ascii="Calibri" w:hAnsi="Calibri"/>
          <w:b/>
          <w:color w:val="1F3864"/>
          <w:sz w:val="26"/>
        </w:rPr>
        <w:t>12. Sign-Off &amp; Pengesahan Resmi</w:t>
      </w:r>
    </w:p>
    <w:p>
      <w:pPr>
        <w:spacing w:before="0" w:after="60" w:line="276" w:lineRule="auto"/>
      </w:pPr>
      <w:r>
        <w:rPr>
          <w:rFonts w:ascii="Calibri" w:hAnsi="Calibri"/>
          <w:i w:val="0"/>
          <w:sz w:val="19"/>
        </w:rPr>
        <w:t>Dokumen ini disahkan sebagai standar tata kelola operasional Advanced Security PT Bina Audita Indonesia:</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Peran Tanggung Jawab</w:t>
            </w:r>
          </w:p>
        </w:tc>
        <w:tc>
          <w:tcPr>
            <w:tcW w:type="dxa" w:w="26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Nama Lengkap Pejabat</w:t>
            </w:r>
          </w:p>
        </w:tc>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Tanda Tangan</w:t>
            </w:r>
          </w:p>
        </w:tc>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Tanggal Pengesahan</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Security Officer</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Lead Security Architect</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Lead Security Architect</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SOC &amp; Incident Response Lead</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SOC Lead</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Legal &amp; Compliance Manager</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Legal Manager</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Direktur Utama</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Direktur Utama PT Bina Audita Indonesia</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bl>
    <w:p>
      <w:pPr>
        <w:spacing w:before="0" w:after="80"/>
      </w:pPr>
    </w:p>
    <w:p>
      <w:pPr>
        <w:keepNext/>
        <w:spacing w:before="280" w:after="80"/>
      </w:pPr>
      <w:r>
        <w:rPr>
          <w:rFonts w:ascii="Calibri" w:hAnsi="Calibri"/>
          <w:b/>
          <w:color w:val="1F3864"/>
          <w:sz w:val="26"/>
        </w:rPr>
        <w:t>13. Referensi Standar &amp; Regulasi</w:t>
      </w:r>
    </w:p>
    <w:p>
      <w:pPr>
        <w:pStyle w:val="ListBullet"/>
        <w:spacing w:before="0" w:after="40" w:line="276" w:lineRule="auto"/>
      </w:pPr>
      <w:r>
        <w:rPr>
          <w:rFonts w:ascii="Calibri" w:hAnsi="Calibri"/>
          <w:b/>
          <w:sz w:val="19"/>
        </w:rPr>
        <w:t xml:space="preserve">ISO/IEC 27001:2022: </w:t>
      </w:r>
      <w:r>
        <w:rPr>
          <w:rFonts w:ascii="Calibri" w:hAnsi="Calibri"/>
          <w:sz w:val="19"/>
        </w:rPr>
        <w:t>Standar Sistem Manajemen Keamanan Informasi (A.5.5, A.5.7, A.5.24, A.5.28, A.8.8, A.8.20, A.8.22, A.8.29, A.8.34).</w:t>
      </w:r>
    </w:p>
    <w:p>
      <w:pPr>
        <w:pStyle w:val="ListBullet"/>
        <w:spacing w:before="0" w:after="40" w:line="276" w:lineRule="auto"/>
      </w:pPr>
      <w:r>
        <w:rPr>
          <w:rFonts w:ascii="Calibri" w:hAnsi="Calibri"/>
          <w:b/>
          <w:sz w:val="19"/>
        </w:rPr>
        <w:t xml:space="preserve">ISO/IEC 29147:2018: </w:t>
      </w:r>
      <w:r>
        <w:rPr>
          <w:rFonts w:ascii="Calibri" w:hAnsi="Calibri"/>
          <w:sz w:val="19"/>
        </w:rPr>
        <w:t>Standar internasional proses penerimaan dan penanganan laporan kerentanan keamanan informasi.</w:t>
      </w:r>
    </w:p>
    <w:p>
      <w:pPr>
        <w:pStyle w:val="ListBullet"/>
        <w:spacing w:before="0" w:after="40" w:line="276" w:lineRule="auto"/>
      </w:pPr>
      <w:r>
        <w:rPr>
          <w:rFonts w:ascii="Calibri" w:hAnsi="Calibri"/>
          <w:b/>
          <w:sz w:val="19"/>
        </w:rPr>
        <w:t xml:space="preserve">NIST SP 800-207: </w:t>
      </w:r>
      <w:r>
        <w:rPr>
          <w:rFonts w:ascii="Calibri" w:hAnsi="Calibri"/>
          <w:sz w:val="19"/>
        </w:rPr>
        <w:t>Panduan Arsitektur Zero Trust dari National Institute of Standards and Technology.</w:t>
      </w:r>
    </w:p>
    <w:p>
      <w:pPr>
        <w:pStyle w:val="ListBullet"/>
        <w:spacing w:before="0" w:after="40" w:line="276" w:lineRule="auto"/>
      </w:pPr>
      <w:r>
        <w:rPr>
          <w:rFonts w:ascii="Calibri" w:hAnsi="Calibri"/>
          <w:b/>
          <w:sz w:val="19"/>
        </w:rPr>
        <w:t xml:space="preserve">NIST SP 800-86: </w:t>
      </w:r>
      <w:r>
        <w:rPr>
          <w:rFonts w:ascii="Calibri" w:hAnsi="Calibri"/>
          <w:sz w:val="19"/>
        </w:rPr>
        <w:t>Panduan integrasi teknik forensik digital ke dalam manajemen insiden keamanan informasi.</w:t>
      </w:r>
    </w:p>
    <w:p>
      <w:pPr>
        <w:pStyle w:val="ListBullet"/>
        <w:spacing w:before="0" w:after="40" w:line="276" w:lineRule="auto"/>
      </w:pPr>
      <w:r>
        <w:rPr>
          <w:rFonts w:ascii="Calibri" w:hAnsi="Calibri"/>
          <w:b/>
          <w:sz w:val="19"/>
        </w:rPr>
        <w:t xml:space="preserve">NIST SP 800-150: </w:t>
      </w:r>
      <w:r>
        <w:rPr>
          <w:rFonts w:ascii="Calibri" w:hAnsi="Calibri"/>
          <w:sz w:val="19"/>
        </w:rPr>
        <w:t>Panduan pertukaran informasi intelijen ancaman siber (Cyber Threat Information Sharing).</w:t>
      </w:r>
    </w:p>
    <w:p>
      <w:pPr>
        <w:pStyle w:val="ListBullet"/>
        <w:spacing w:before="0" w:after="40" w:line="276" w:lineRule="auto"/>
      </w:pPr>
      <w:r>
        <w:rPr>
          <w:rFonts w:ascii="Calibri" w:hAnsi="Calibri"/>
          <w:b/>
          <w:sz w:val="19"/>
        </w:rPr>
        <w:t xml:space="preserve">MITRE ATT&amp;CK Framework: </w:t>
      </w:r>
      <w:r>
        <w:rPr>
          <w:rFonts w:ascii="Calibri" w:hAnsi="Calibri"/>
          <w:sz w:val="19"/>
        </w:rPr>
        <w:t>Kerangka kerja taktik, teknik, dan prosedur adversary siber dunia nyata.</w:t>
      </w:r>
    </w:p>
    <w:p>
      <w:pPr>
        <w:pStyle w:val="ListBullet"/>
        <w:spacing w:before="0" w:after="40" w:line="276" w:lineRule="auto"/>
      </w:pPr>
      <w:r>
        <w:rPr>
          <w:rFonts w:ascii="Calibri" w:hAnsi="Calibri"/>
          <w:b/>
          <w:sz w:val="19"/>
        </w:rPr>
        <w:t xml:space="preserve">Penetration Testing Execution Standard (PTES): </w:t>
      </w:r>
      <w:r>
        <w:rPr>
          <w:rFonts w:ascii="Calibri" w:hAnsi="Calibri"/>
          <w:sz w:val="19"/>
        </w:rPr>
        <w:t>Standar baku eksekusi uji penetrasi keamanan sistem informasi.</w:t>
      </w:r>
    </w:p>
    <w:p>
      <w:pPr>
        <w:pStyle w:val="ListBullet"/>
        <w:spacing w:before="0" w:after="40" w:line="276" w:lineRule="auto"/>
      </w:pPr>
      <w:r>
        <w:rPr>
          <w:rFonts w:ascii="Calibri" w:hAnsi="Calibri"/>
          <w:b/>
          <w:sz w:val="19"/>
        </w:rPr>
        <w:t xml:space="preserve">UU PDP No. 27/2022 &amp; UU ITE No. 19/2016: </w:t>
      </w:r>
      <w:r>
        <w:rPr>
          <w:rFonts w:ascii="Calibri" w:hAnsi="Calibri"/>
          <w:sz w:val="19"/>
        </w:rPr>
        <w:t>Kewajiban kepatuhan hukum atas pemrosesan data pribadi dan keabsahan alat bukti elektronik.</w:t>
      </w:r>
    </w:p>
    <w:p>
      <w:pPr>
        <w:keepNext/>
        <w:spacing w:before="280" w:after="80"/>
      </w:pPr>
      <w:r>
        <w:rPr>
          <w:rFonts w:ascii="Calibri" w:hAnsi="Calibri"/>
          <w:b/>
          <w:color w:val="1F3864"/>
          <w:sz w:val="26"/>
        </w:rPr>
        <w:t>Lampiran A — Matriks Alokasi Reward &amp; SLA Bug Bounty Program</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1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Severity</w:t>
            </w:r>
          </w:p>
        </w:tc>
        <w:tc>
          <w:tcPr>
            <w:tcW w:type="dxa" w:w="13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CVSS Range</w:t>
            </w:r>
          </w:p>
        </w:tc>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Reward Base</w:t>
            </w:r>
          </w:p>
        </w:tc>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Bonus Kualitas</w:t>
            </w:r>
          </w:p>
        </w:tc>
        <w:tc>
          <w:tcPr>
            <w:tcW w:type="dxa" w:w="15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SLA Acknowledgment</w:t>
            </w:r>
          </w:p>
        </w:tc>
        <w:tc>
          <w:tcPr>
            <w:tcW w:type="dxa" w:w="1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SLA Remediasi</w:t>
            </w:r>
          </w:p>
        </w:tc>
      </w:tr>
      <w:tr>
        <w:trPr>
          <w:cantSplit/>
        </w:trPr>
        <w:tc>
          <w:tcPr>
            <w:tcW w:type="dxa" w:w="1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Critical</w:t>
            </w:r>
          </w:p>
        </w:tc>
        <w:tc>
          <w:tcPr>
            <w:tcW w:type="dxa" w:w="1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9.0 – 10.0</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Rp 10–50 Juta</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+30% Exploit Chain</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 24 Jam</w:t>
            </w:r>
          </w:p>
        </w:tc>
        <w:tc>
          <w:tcPr>
            <w:tcW w:type="dxa" w:w="1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 7 Hari</w:t>
            </w:r>
          </w:p>
        </w:tc>
      </w:tr>
      <w:tr>
        <w:trPr>
          <w:cantSplit/>
        </w:trPr>
        <w:tc>
          <w:tcPr>
            <w:tcW w:type="dxa" w:w="1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High</w:t>
            </w:r>
          </w:p>
        </w:tc>
        <w:tc>
          <w:tcPr>
            <w:tcW w:type="dxa" w:w="1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7.0 – 8.9</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Rp 5–10 Juta</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+20% First Report</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 3 Hari</w:t>
            </w:r>
          </w:p>
        </w:tc>
        <w:tc>
          <w:tcPr>
            <w:tcW w:type="dxa" w:w="1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 14 Hari</w:t>
            </w:r>
          </w:p>
        </w:tc>
      </w:tr>
      <w:tr>
        <w:trPr>
          <w:cantSplit/>
        </w:trPr>
        <w:tc>
          <w:tcPr>
            <w:tcW w:type="dxa" w:w="1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Medium</w:t>
            </w:r>
          </w:p>
        </w:tc>
        <w:tc>
          <w:tcPr>
            <w:tcW w:type="dxa" w:w="1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4.0 – 6.9</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Rp 1–5 Juta</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+10% PoC Rinci</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 5 Hari</w:t>
            </w:r>
          </w:p>
        </w:tc>
        <w:tc>
          <w:tcPr>
            <w:tcW w:type="dxa" w:w="1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 30 Hari</w:t>
            </w:r>
          </w:p>
        </w:tc>
      </w:tr>
      <w:tr>
        <w:trPr>
          <w:cantSplit/>
        </w:trPr>
        <w:tc>
          <w:tcPr>
            <w:tcW w:type="dxa" w:w="12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Low</w:t>
            </w:r>
          </w:p>
        </w:tc>
        <w:tc>
          <w:tcPr>
            <w:tcW w:type="dxa" w:w="1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0.1 – 3.9</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Rp 500rb–1 Juta</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Swag / Certificate</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 7 Hari</w:t>
            </w:r>
          </w:p>
        </w:tc>
        <w:tc>
          <w:tcPr>
            <w:tcW w:type="dxa" w:w="1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 90 Hari</w:t>
            </w:r>
          </w:p>
        </w:tc>
      </w:tr>
    </w:tbl>
    <w:p>
      <w:pPr>
        <w:spacing w:before="0" w:after="80"/>
      </w:pPr>
    </w:p>
    <w:p>
      <w:pPr>
        <w:keepNext/>
        <w:spacing w:before="280" w:after="80"/>
      </w:pPr>
      <w:r>
        <w:rPr>
          <w:rFonts w:ascii="Calibri" w:hAnsi="Calibri"/>
          <w:b/>
          <w:color w:val="1F3864"/>
          <w:sz w:val="26"/>
        </w:rPr>
        <w:t>Lampiran B — Formulir Rantai Penjagaan Bukti (Chain of Custody Form)</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5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No</w:t>
            </w:r>
          </w:p>
        </w:tc>
        <w:tc>
          <w:tcPr>
            <w:tcW w:type="dxa" w:w="1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Tanggal / Waktu</w:t>
            </w:r>
          </w:p>
        </w:tc>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Pihak Penyerang (From)</w:t>
            </w:r>
          </w:p>
        </w:tc>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Pihak Penerima (To)</w:t>
            </w:r>
          </w:p>
        </w:tc>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Tujuan Pemindahan</w:t>
            </w:r>
          </w:p>
        </w:tc>
        <w:tc>
          <w:tcPr>
            <w:tcW w:type="dxa" w:w="16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Verifikasi Hash SHA-256</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1</w:t>
            </w:r>
          </w:p>
        </w:tc>
        <w:tc>
          <w:tcPr>
            <w:tcW w:type="dxa" w:w="1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28/09/2026 10:15 WIB</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Forensic Analyst</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Evidence Custodian</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Penyimpanan ke Safe Locker Lab</w:t>
            </w:r>
          </w:p>
        </w:tc>
        <w:tc>
          <w:tcPr>
            <w:tcW w:type="dxa" w:w="1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Verified Match (SHA-256 OK)</w:t>
            </w:r>
          </w:p>
        </w:tc>
      </w:tr>
      <w:tr>
        <w:trPr>
          <w:cantSplit/>
        </w:trPr>
        <w:tc>
          <w:tcPr>
            <w:tcW w:type="dxa" w:w="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val="0"/>
                <w:color w:val="333333"/>
                <w:sz w:val="19"/>
              </w:rPr>
              <w:t>2</w:t>
            </w:r>
          </w:p>
        </w:tc>
        <w:tc>
          <w:tcPr>
            <w:tcW w:type="dxa" w:w="1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28/09/2026 14:30 WIB</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Evidence Custodian</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Forensic Examiner</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val="0"/>
                <w:color w:val="333333"/>
                <w:sz w:val="19"/>
              </w:rPr>
              <w:t>Analisis forensik snapshot memori &amp; verifikasi integritas</w:t>
            </w:r>
          </w:p>
        </w:tc>
        <w:tc>
          <w:tcPr>
            <w:tcW w:type="dxa" w:w="1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left"/>
            </w:pPr>
            <w:r/>
            <w:r>
              <w:rPr>
                <w:rFonts w:ascii="Calibri" w:hAnsi="Calibri"/>
                <w:b/>
                <w:color w:val="27AE60"/>
                <w:sz w:val="19"/>
              </w:rPr>
              <w:t>Verified Match (SHA-256 OK)</w:t>
            </w:r>
          </w:p>
        </w:tc>
      </w:tr>
    </w:tbl>
    <w:p>
      <w:pPr>
        <w:spacing w:before="0" w:after="80"/>
      </w:pPr>
    </w:p>
    <w:p>
      <w:pPr>
        <w:keepNext/>
        <w:spacing w:before="280" w:after="80"/>
      </w:pPr>
      <w:r>
        <w:rPr>
          <w:rFonts w:ascii="Calibri" w:hAnsi="Calibri"/>
          <w:b/>
          <w:color w:val="1F3864"/>
          <w:sz w:val="26"/>
        </w:rPr>
        <w:t>Lampiran C — Matriks Pemetaan TTP MITRE ATT&amp;CK &amp; Rules of Engagement</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Fase Taktik MITRE</w:t>
            </w:r>
          </w:p>
        </w:tc>
        <w:tc>
          <w:tcPr>
            <w:tcW w:type="dxa" w:w="1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ID Teknik</w:t>
            </w:r>
          </w:p>
        </w:tc>
        <w:tc>
          <w:tcPr>
            <w:tcW w:type="dxa" w:w="33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Deskripsi Aktivitas Uji</w:t>
            </w:r>
          </w:p>
        </w:tc>
        <w:tc>
          <w:tcPr>
            <w:tcW w:type="dxa" w:w="3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Ketentuan Batasan RoE</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Reconnaissance</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T1595</w:t>
            </w:r>
          </w:p>
        </w:tc>
        <w:tc>
          <w:tcPr>
            <w:tcW w:type="dxa" w:w="3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Active scanning &amp; OSINT domain publik</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In-scope domain saja; rate limit dijaga.</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Initial Access</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T1190</w:t>
            </w:r>
          </w:p>
        </w:tc>
        <w:tc>
          <w:tcPr>
            <w:tcW w:type="dxa" w:w="3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Eksploitasi kerentanan aplikasi web publik</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Dilarang memicu crash data atau DoS.</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Execution</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T1059</w:t>
            </w:r>
          </w:p>
        </w:tc>
        <w:tc>
          <w:tcPr>
            <w:tcW w:type="dxa" w:w="3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Command and Scripting Interpreter</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Dilarang mengeksekusi payload destruktif.</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Persistence</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T1053</w:t>
            </w:r>
          </w:p>
        </w:tc>
        <w:tc>
          <w:tcPr>
            <w:tcW w:type="dxa" w:w="3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Scheduled Task / Job Creation</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Wajib didokumentasikan untuk cleanup pasca-tes.</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Privilege Escalation</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T1068</w:t>
            </w:r>
          </w:p>
        </w:tc>
        <w:tc>
          <w:tcPr>
            <w:tcW w:type="dxa" w:w="3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Eksploitasi izin akun / sudoers</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Laporkan temuan Critical secara instan.</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Defense Evasion</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T1562</w:t>
            </w:r>
          </w:p>
        </w:tc>
        <w:tc>
          <w:tcPr>
            <w:tcW w:type="dxa" w:w="3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Uji kemampuan bypass WAF / EDR</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Bekerja sama dengan White Team bila ada alert.</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Credential Access</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T1003</w:t>
            </w:r>
          </w:p>
        </w:tc>
        <w:tc>
          <w:tcPr>
            <w:tcW w:type="dxa" w:w="3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OS Credential Dumping simulasi</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Gunakan akun dummy uji; dilarang dump akun riil.</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Lateral Movement</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T1021</w:t>
            </w:r>
          </w:p>
        </w:tc>
        <w:tc>
          <w:tcPr>
            <w:tcW w:type="dxa" w:w="3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Remote Services (SSH/RDP pivoting)</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Hanya pivot ke segmen jaringan staging terotorisasi.</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Collection</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T1005</w:t>
            </w:r>
          </w:p>
        </w:tc>
        <w:tc>
          <w:tcPr>
            <w:tcW w:type="dxa" w:w="3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Pengumpulan data sampel bukti</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Gunakan placeholder; dilarang salin data PII klien.</w:t>
            </w:r>
          </w:p>
        </w:tc>
      </w:tr>
      <w:tr>
        <w:trPr>
          <w:cantSplit/>
        </w:trPr>
        <w:tc>
          <w:tcPr>
            <w:tcW w:type="dxa" w:w="17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Exfiltration</w:t>
            </w:r>
          </w:p>
        </w:tc>
        <w:tc>
          <w:tcPr>
            <w:tcW w:type="dxa" w:w="1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T1041</w:t>
            </w:r>
          </w:p>
        </w:tc>
        <w:tc>
          <w:tcPr>
            <w:tcW w:type="dxa" w:w="3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Eksfiltrasi data bukti melalui kanal aman</w:t>
            </w:r>
          </w:p>
        </w:tc>
        <w:tc>
          <w:tcPr>
            <w:tcW w:type="dxa" w:w="3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Maksimal transfer file dummy 1 MB sebagai bukti.</w:t>
            </w:r>
          </w:p>
        </w:tc>
      </w:tr>
    </w:tbl>
    <w:p>
      <w:pPr>
        <w:spacing w:before="0" w:after="80"/>
      </w:pPr>
    </w:p>
    <w:p>
      <w:pPr>
        <w:keepNext/>
        <w:spacing w:before="280" w:after="80"/>
      </w:pPr>
      <w:r>
        <w:rPr>
          <w:rFonts w:ascii="Calibri" w:hAnsi="Calibri"/>
          <w:b/>
          <w:color w:val="1F3864"/>
          <w:sz w:val="26"/>
        </w:rPr>
        <w:t>Lampiran D — Indikator Ancaman (IoC) &amp; Integrasi Threat Intelligence Platform</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5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Jenis IoC</w:t>
            </w:r>
          </w:p>
        </w:tc>
        <w:tc>
          <w:tcPr>
            <w:tcW w:type="dxa" w:w="29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Contoh Indikator Ancaman</w:t>
            </w:r>
          </w:p>
        </w:tc>
        <w:tc>
          <w:tcPr>
            <w:tcW w:type="dxa" w:w="23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Target Sistem Proteksi</w:t>
            </w:r>
          </w:p>
        </w:tc>
        <w:tc>
          <w:tcPr>
            <w:tcW w:type="dxa" w:w="23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Tindakan Otomatis</w:t>
            </w:r>
          </w:p>
        </w:tc>
      </w:tr>
      <w:tr>
        <w:trPr>
          <w:cantSplit/>
        </w:trPr>
        <w:tc>
          <w:tcPr>
            <w:tcW w:type="dxa" w:w="1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IP Address</w:t>
            </w:r>
          </w:p>
        </w:tc>
        <w:tc>
          <w:tcPr>
            <w:tcW w:type="dxa" w:w="2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198.51.100.23 (Known C2 Server)</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Border Firewall &amp; WAF</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Blokir trafik masuk dan keluar (Drop).</w:t>
            </w:r>
          </w:p>
        </w:tc>
      </w:tr>
      <w:tr>
        <w:trPr>
          <w:cantSplit/>
        </w:trPr>
        <w:tc>
          <w:tcPr>
            <w:tcW w:type="dxa" w:w="1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Domain</w:t>
            </w:r>
          </w:p>
        </w:tc>
        <w:tc>
          <w:tcPr>
            <w:tcW w:type="dxa" w:w="2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evil-auditsphere-phish.com</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DNS Resolver &amp; Proxy Gateway</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DNS Sinkholing &amp; URL Filtering.</w:t>
            </w:r>
          </w:p>
        </w:tc>
      </w:tr>
      <w:tr>
        <w:trPr>
          <w:cantSplit/>
        </w:trPr>
        <w:tc>
          <w:tcPr>
            <w:tcW w:type="dxa" w:w="1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File Hash</w:t>
            </w:r>
          </w:p>
        </w:tc>
        <w:tc>
          <w:tcPr>
            <w:tcW w:type="dxa" w:w="2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e3b0c44298fc1c149afbf4c8996fb92427...</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Endpoint Detection &amp; Response (EDR)</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Karantina otomatis file saat terdeteksi.</w:t>
            </w:r>
          </w:p>
        </w:tc>
      </w:tr>
      <w:tr>
        <w:trPr>
          <w:cantSplit/>
        </w:trPr>
        <w:tc>
          <w:tcPr>
            <w:tcW w:type="dxa" w:w="15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Email Sender</w:t>
            </w:r>
          </w:p>
        </w:tc>
        <w:tc>
          <w:tcPr>
            <w:tcW w:type="dxa" w:w="2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spoof@malicious-audit.org</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Secure Email Gateway (SEG)</w:t>
            </w:r>
          </w:p>
        </w:tc>
        <w:tc>
          <w:tcPr>
            <w:tcW w:type="dxa" w:w="23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Karantina email &amp; blokir domain pengirim.</w:t>
            </w:r>
          </w:p>
        </w:tc>
      </w:tr>
    </w:tbl>
    <w:p>
      <w:pPr>
        <w:spacing w:before="0" w:after="80"/>
      </w:pPr>
    </w:p>
    <w:p>
      <w:pPr>
        <w:keepNext/>
        <w:spacing w:before="280" w:after="80"/>
      </w:pPr>
      <w:r>
        <w:rPr>
          <w:rFonts w:ascii="Calibri" w:hAnsi="Calibri"/>
          <w:b/>
          <w:color w:val="1F3864"/>
          <w:sz w:val="26"/>
        </w:rPr>
        <w:t>Lampiran E — Pre-Pentest Checklist Terpadu auditsphere.app</w:t>
      </w:r>
    </w:p>
    <w:p>
      <w:pPr>
        <w:spacing w:before="0" w:after="60" w:line="276" w:lineRule="auto"/>
      </w:pPr>
      <w:r>
        <w:rPr>
          <w:rFonts w:ascii="Calibri" w:hAnsi="Calibri"/>
          <w:i w:val="0"/>
          <w:sz w:val="19"/>
        </w:rPr>
        <w:t>Checklist persiapan operasional pengujian penetrasi website auditsphere.app sesuai standar ISO/IEC 27001:2022 dan UU PDP No. 27/2022:</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Kategori Kesiapan</w:t>
            </w:r>
          </w:p>
        </w:tc>
        <w:tc>
          <w:tcPr>
            <w:tcW w:type="dxa" w:w="47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Item Verifikasi Pre-Pentest auditsphere.app</w:t>
            </w:r>
          </w:p>
        </w:tc>
        <w:tc>
          <w:tcPr>
            <w:tcW w:type="dxa" w:w="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Status</w:t>
            </w:r>
          </w:p>
        </w:tc>
        <w:tc>
          <w:tcPr>
            <w:tcW w:type="dxa" w:w="15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Evidence / Catatan</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1. Legal &amp; RoE (A.5.31, A.6.6)</w:t>
            </w:r>
          </w:p>
        </w:tc>
        <w:tc>
          <w:tcPr>
            <w:tcW w:type="dxa" w:w="4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Penandatanganan NDA, Penetration Testing Agreement, dan Letter of Authorization (LoA) resmi.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ORG-LoA-202609-auditsphere-v1.pdf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1. Legal &amp; RoE (A.8.34)</w:t>
            </w:r>
          </w:p>
        </w:tc>
        <w:tc>
          <w:tcPr>
            <w:tcW w:type="dxa" w:w="4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Penetapan batasan ruang lingkup (In-scope auditsphere.app &amp; API vs Out-of-scope) dan Testing Window.</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ORG-RoE-202609-ScopeAndWindow-v1.pdf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1. Legal &amp; RoE (A.5.31)</w:t>
            </w:r>
          </w:p>
        </w:tc>
        <w:tc>
          <w:tcPr>
            <w:tcW w:type="dxa" w:w="4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Penerbitan surat kelonggaran operasional (Get-out-of-jail Card) bagi tim pengetes terotorisasi.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ORG-Permit-202609-GetOutOfJail-v1.pdf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2. Lingkungan Uji (A.8.31)</w:t>
            </w:r>
          </w:p>
        </w:tc>
        <w:tc>
          <w:tcPr>
            <w:tcW w:type="dxa" w:w="4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Penyiapan lingkungan terisolasi Staging/UAT (staging.auditsphere.app) terpisah dari produksi.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TEC-EnvSegregation-202609-Staging-v1.pdf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2. Akses Jaringan (A.8.20)</w:t>
            </w:r>
          </w:p>
        </w:tc>
        <w:tc>
          <w:tcPr>
            <w:tcW w:type="dxa" w:w="4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Whitelisting IP Address pengetes pada Firewall, WAF Cloudflare, dan rate limit exceptions.</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TEC-NetworkSec-202609-WAFWhitelist-v1.png</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2. Akun Uji Multi-Role (A.8.2)</w:t>
            </w:r>
          </w:p>
        </w:tc>
        <w:tc>
          <w:tcPr>
            <w:tcW w:type="dxa" w:w="4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Penyediaan akun uji (Admin, Auditor, User) dengan kredensial aman &amp; bypass MFA khusus pengujian.</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OPS-Access-202609-PentestAccounts-v1.xlsx</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3. Data Protection (A.8.13)</w:t>
            </w:r>
          </w:p>
        </w:tc>
        <w:tc>
          <w:tcPr>
            <w:tcW w:type="dxa" w:w="4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Pelaksanaan Full Backup database PostgreSQL dan source code aplikasi sebelum pentest dimulai.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TEC-BackupRestore-202609-PrePentest-v1.log</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3. Data Masking (A.8.11, UU PDP)</w:t>
            </w:r>
          </w:p>
        </w:tc>
        <w:tc>
          <w:tcPr>
            <w:tcW w:type="dxa" w:w="4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Sanitasi dan masking seluruh data pribadi (PII) pada basis data uji sesuai UU PDP No. 27/2022.</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TEC-DataMasking-202609-TestSanitized-v1.pdf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4. Monitoring &amp; Log (A.8.15)</w:t>
            </w:r>
          </w:p>
        </w:tc>
        <w:tc>
          <w:tcPr>
            <w:tcW w:type="dxa" w:w="4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Aktivasi verbose logging dan audit trail pada server web, API Gateway, dan SIEM.</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TEC-Logging-202609-PentestAuditTrail-v1.png</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4. CTI Korelasi (A.5.7)</w:t>
            </w:r>
          </w:p>
        </w:tc>
        <w:tc>
          <w:tcPr>
            <w:tcW w:type="dxa" w:w="4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Pemberitahuan ke SOC agar trafik IP penotes tidak memicu false alarm eskalasi ancaman eksternal.</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TEC-SIEM-202609-PentestCorrelation-v1.xlsx</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5. Tanggap Darurat (A.5.24)</w:t>
            </w:r>
          </w:p>
        </w:tc>
        <w:tc>
          <w:tcPr>
            <w:tcW w:type="dxa" w:w="4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Penyusunan matriks eskalasi darurat (Lead DevOps, Security Officer, Legal) untuk insiden Critical.</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ORG-IncidentPrep-202609-EscalationTree-v1.pdf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5. Emergency Stop (A.8.34)</w:t>
            </w:r>
          </w:p>
        </w:tc>
        <w:tc>
          <w:tcPr>
            <w:tcW w:type="dxa" w:w="4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Penetapan prosedur Emergency Stop bilamana pengujian mengganggu kestabilan layanan produksi.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ORG-IncidentResp-202609-EmergencyStop-v1.pdf</w:t>
            </w:r>
          </w:p>
        </w:tc>
      </w:tr>
    </w:tbl>
    <w:p>
      <w:pPr>
        <w:spacing w:before="0" w:after="80"/>
      </w:pPr>
    </w:p>
    <w:sectPr w:rsidR="00FC693F" w:rsidRPr="0006063C" w:rsidSect="00034616">
      <w:headerReference w:type="default" r:id="rId9"/>
      <w:pgSz w:w="11906" w:h="16838"/>
      <w:pgMar w:top="130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ASC-003 · Advanced Security Operations &amp; Architecture Checklist · v1.0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