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Threat Intelligence Procedure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Prosedur Manajemen &amp; Operasionalisasi Intelijen Ancaman Siber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TIP-001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Cyber Threat Intelligence Management Procedure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Penulis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CTI Analyst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Approver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Kontrol ISO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A.5.7, A.5.6, A.8.8, NIST SP 800-150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Review Berikutnya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2027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 &amp; Empat Tingkatan CTI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Menetapkan prosedur untuk mengumpulkan, memproses, menganalisis, dan mendistribusikan informasi ancaman siber (Cyber Threat Intelligence) guna mengantisipasi serangan proaktif sesuai standar ISO/IEC 27001:2022 kontrol A.5.7.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CTI</w:t>
            </w:r>
          </w:p>
        </w:tc>
        <w:tc>
          <w:tcPr>
            <w:tcW w:type="dxa" w:w="3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 Fokus Intelijen</w:t>
            </w:r>
          </w:p>
        </w:tc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Audiens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Format &amp; Output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Strategic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Tren makro ancaman geopolitik, motif serangan, dampak finansial.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Board, CISO, Direktur Utama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Laporan triwulanan / tahunan.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Operational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Kampanye serangan aktif dan profil kelompok ancaman penarget industri SaaS/Audit.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Manager, SOC Lead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Threat advisories berkala.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Tactical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Taktik, Teknik, dan Prosedur (TTP) aktor ancaman dipetakan ke MITRE ATT&amp;CK.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Threat Hunter, SecOps Analyst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Hunting hypothesis &amp; SIEM rules.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Technical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Indikator teknis: IP Address jahat, domain C2, hash malware, URL phishing.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SOC Analyst L1, Firewall/WAF Admin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Automated STIX/TAXII feed ingestion.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Siklus 7 Tahap Intelijen Ancaman (Intelligence Lifecycle)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Requirements: </w:t>
      </w:r>
      <w:r>
        <w:rPr>
          <w:rFonts w:ascii="Calibri" w:hAnsi="Calibri"/>
          <w:sz w:val="19"/>
        </w:rPr>
        <w:t>Menentukan Priority Intelligence Requirements (PIR) berdasarkan aset paling berisiko.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Collection: </w:t>
      </w:r>
      <w:r>
        <w:rPr>
          <w:rFonts w:ascii="Calibri" w:hAnsi="Calibri"/>
          <w:sz w:val="19"/>
        </w:rPr>
        <w:t>Pengumpulan data dari sumber internal (SIEM/EDR) dan eksternal (BSSN, OTX, MISP).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Processing: </w:t>
      </w:r>
      <w:r>
        <w:rPr>
          <w:rFonts w:ascii="Calibri" w:hAnsi="Calibri"/>
          <w:sz w:val="19"/>
        </w:rPr>
        <w:t>Normalisasi data, de-duplikasi IoC, dan pengayaan konteks (enrichment).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Analysis: </w:t>
      </w:r>
      <w:r>
        <w:rPr>
          <w:rFonts w:ascii="Calibri" w:hAnsi="Calibri"/>
          <w:sz w:val="19"/>
        </w:rPr>
        <w:t>Analisis korelasi IoC, verifikasi relevansi, dan penilaian tingkat ancaman.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5. Dissemination: </w:t>
      </w:r>
      <w:r>
        <w:rPr>
          <w:rFonts w:ascii="Calibri" w:hAnsi="Calibri"/>
          <w:sz w:val="19"/>
        </w:rPr>
        <w:t>Penyebaran informasi kepada pemangku kepentingan sesuai format tingkatan CTI.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6. Action: </w:t>
      </w:r>
      <w:r>
        <w:rPr>
          <w:rFonts w:ascii="Calibri" w:hAnsi="Calibri"/>
          <w:sz w:val="19"/>
        </w:rPr>
        <w:t>Tindakan mitigasi nyata: pembaruan rule WAF, pemblokiran IP di firewall, patching CVE.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7. Feedback: </w:t>
      </w:r>
      <w:r>
        <w:rPr>
          <w:rFonts w:ascii="Calibri" w:hAnsi="Calibri"/>
          <w:sz w:val="19"/>
        </w:rPr>
        <w:t>Evaluasi efektivitas intelijen dan penyempurnaan kebutuhan PIR berikutnya.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Platform CTI &amp; Tindakan Pemblokiran IoC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Tipe Indikator</w:t>
            </w:r>
          </w:p>
        </w:tc>
        <w:tc>
          <w:tcPr>
            <w:tcW w:type="dxa" w:w="25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Contoh IoC</w:t>
            </w:r>
          </w:p>
        </w:tc>
        <w:tc>
          <w:tcPr>
            <w:tcW w:type="dxa" w:w="3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Aksi Tindakan Keamanan</w:t>
            </w:r>
          </w:p>
        </w:tc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Mekanisme Eksekusi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IP Address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198.51.100.45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Blokir pada perimeter firewall &amp; WAF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Otomatis (Feed)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Domain / FQDN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malicious-auditsphere-update.com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DNS sinkholing &amp; URL filtering proxy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Otomatis (Feed)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File Hash (SHA-256)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8f4e2b1c9a...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Karantina otomatis pada EDR endpoint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Otomatis (EDR)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Email Sender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phish@spoofed-audit.id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Blokir domain di Secure Email Gateway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Otomatis (SEG)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TTP MITRE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T1059 (PowerShell Execution)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Update deteksi script-block logging di SIEM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Manual (Analisis)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Metrik Kinerja (KPI) &amp;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Indikator Kinerja CTI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Sasaran</w:t>
            </w:r>
          </w:p>
        </w:tc>
        <w:tc>
          <w:tcPr>
            <w:tcW w:type="dxa" w:w="3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 Evaluasi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IoC Processed Rate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feed yang masuk berhasil diproses dan dinormalisasi.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IoC Actioned Rate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90%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Proporsi indikator ancaman relevan yang dieksekusi pemblokiran.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Kecepatan Update Rule (Time-to-Rule)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24 Jam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Waktu dari deteksi CTI hingga rule aktif di perimeter.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Tingkat False Positive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10%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Meminimalkan pemblokiran trafik yang sah.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Jabatan Pengesah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Pejabat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Direktur Utama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ISMS Manager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ISMS Manager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TIP-001 · Threat Intelligence Procedure · v1.0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