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/>
          <w:b/>
          <w:color w:val="1F3864"/>
          <w:sz w:val="44"/>
        </w:rPr>
        <w:t>LLM Security Checklist</w:t>
      </w:r>
    </w:p>
    <w:p>
      <w:pPr>
        <w:spacing w:before="0" w:after="280"/>
      </w:pPr>
      <w:r>
        <w:rPr>
          <w:rFonts w:ascii="Calibri" w:hAnsi="Calibri"/>
          <w:b w:val="0"/>
          <w:color w:val="2E5597"/>
          <w:sz w:val="24"/>
        </w:rPr>
        <w:t>AuditSphere® — Checklist Keamanan Implementasi LLM</w:t>
      </w:r>
    </w:p>
    <w:p>
      <w:pPr>
        <w:keepNext/>
        <w:spacing w:before="200" w:after="60"/>
      </w:pPr>
      <w:r>
        <w:rPr>
          <w:rFonts w:ascii="Calibri" w:hAnsi="Calibri"/>
          <w:b/>
          <w:color w:val="2E5597"/>
          <w:sz w:val="22"/>
        </w:rPr>
        <w:t>Document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26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6426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Nilai</w:t>
            </w:r>
          </w:p>
        </w:tc>
      </w:tr>
      <w:tr>
        <w:trPr>
          <w:cantSplit/>
        </w:trPr>
        <w:tc>
          <w:tcPr>
            <w:tcW w:type="dxa" w:w="26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Nomor Dokumen</w:t>
            </w:r>
          </w:p>
        </w:tc>
        <w:tc>
          <w:tcPr>
            <w:tcW w:type="dxa" w:w="64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LLMSC-001</w:t>
            </w:r>
          </w:p>
        </w:tc>
      </w:tr>
      <w:tr>
        <w:trPr>
          <w:cantSplit/>
        </w:trPr>
        <w:tc>
          <w:tcPr>
            <w:tcW w:type="dxa" w:w="26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Judul</w:t>
            </w:r>
          </w:p>
        </w:tc>
        <w:tc>
          <w:tcPr>
            <w:tcW w:type="dxa" w:w="64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LLM Security Implementation Checklist</w:t>
            </w:r>
          </w:p>
        </w:tc>
      </w:tr>
      <w:tr>
        <w:trPr>
          <w:cantSplit/>
        </w:trPr>
        <w:tc>
          <w:tcPr>
            <w:tcW w:type="dxa" w:w="26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Versi</w:t>
            </w:r>
          </w:p>
        </w:tc>
        <w:tc>
          <w:tcPr>
            <w:tcW w:type="dxa" w:w="64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1.0</w:t>
            </w:r>
          </w:p>
        </w:tc>
      </w:tr>
      <w:tr>
        <w:trPr>
          <w:cantSplit/>
        </w:trPr>
        <w:tc>
          <w:tcPr>
            <w:tcW w:type="dxa" w:w="26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Tanggal Berlaku</w:t>
            </w:r>
          </w:p>
        </w:tc>
        <w:tc>
          <w:tcPr>
            <w:tcW w:type="dxa" w:w="64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28 September 2026</w:t>
            </w:r>
          </w:p>
        </w:tc>
      </w:tr>
      <w:tr>
        <w:trPr>
          <w:cantSplit/>
        </w:trPr>
        <w:tc>
          <w:tcPr>
            <w:tcW w:type="dxa" w:w="26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Pemilik</w:t>
            </w:r>
          </w:p>
        </w:tc>
        <w:tc>
          <w:tcPr>
            <w:tcW w:type="dxa" w:w="64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Technical Lead</w:t>
            </w:r>
          </w:p>
        </w:tc>
      </w:tr>
      <w:tr>
        <w:trPr>
          <w:cantSplit/>
        </w:trPr>
        <w:tc>
          <w:tcPr>
            <w:tcW w:type="dxa" w:w="26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Penulis</w:t>
            </w:r>
          </w:p>
        </w:tc>
        <w:tc>
          <w:tcPr>
            <w:tcW w:type="dxa" w:w="64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Technical Lead &amp; Security Officer</w:t>
            </w:r>
          </w:p>
        </w:tc>
      </w:tr>
      <w:tr>
        <w:trPr>
          <w:cantSplit/>
        </w:trPr>
        <w:tc>
          <w:tcPr>
            <w:tcW w:type="dxa" w:w="26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Approver</w:t>
            </w:r>
          </w:p>
        </w:tc>
        <w:tc>
          <w:tcPr>
            <w:tcW w:type="dxa" w:w="64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Security Officer</w:t>
            </w:r>
          </w:p>
        </w:tc>
      </w:tr>
      <w:tr>
        <w:trPr>
          <w:cantSplit/>
        </w:trPr>
        <w:tc>
          <w:tcPr>
            <w:tcW w:type="dxa" w:w="26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Klasifikasi</w:t>
            </w:r>
          </w:p>
        </w:tc>
        <w:tc>
          <w:tcPr>
            <w:tcW w:type="dxa" w:w="64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Internal</w:t>
            </w:r>
          </w:p>
        </w:tc>
      </w:tr>
      <w:tr>
        <w:trPr>
          <w:cantSplit/>
        </w:trPr>
        <w:tc>
          <w:tcPr>
            <w:tcW w:type="dxa" w:w="26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Kontrol ISO</w:t>
            </w:r>
          </w:p>
        </w:tc>
        <w:tc>
          <w:tcPr>
            <w:tcW w:type="dxa" w:w="64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ISO/IEC 27001:2022 A.8.28, A.8.29, A.5.7, OWASP Top 10 for LLM:2025</w:t>
            </w:r>
          </w:p>
        </w:tc>
      </w:tr>
      <w:tr>
        <w:trPr>
          <w:cantSplit/>
        </w:trPr>
        <w:tc>
          <w:tcPr>
            <w:tcW w:type="dxa" w:w="26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Review Berikutnya</w:t>
            </w:r>
          </w:p>
        </w:tc>
        <w:tc>
          <w:tcPr>
            <w:tcW w:type="dxa" w:w="64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28 September 2027</w:t>
            </w:r>
          </w:p>
        </w:tc>
      </w:tr>
    </w:tbl>
    <w:p>
      <w:pPr>
        <w:spacing w:before="0" w:after="80"/>
      </w:pPr>
    </w:p>
    <w:p>
      <w:pPr>
        <w:keepNext/>
        <w:spacing w:before="280" w:after="80"/>
      </w:pPr>
      <w:r>
        <w:rPr>
          <w:rFonts w:ascii="Calibri" w:hAnsi="Calibri"/>
          <w:b/>
          <w:color w:val="1F3864"/>
          <w:sz w:val="26"/>
        </w:rPr>
        <w:t>1. Tujuan &amp; Arsitektur Implementasi</w:t>
      </w:r>
    </w:p>
    <w:p>
      <w:pPr>
        <w:spacing w:before="0" w:after="60" w:line="276" w:lineRule="auto"/>
      </w:pPr>
      <w:r>
        <w:rPr>
          <w:rFonts w:ascii="Calibri" w:hAnsi="Calibri"/>
          <w:i w:val="0"/>
          <w:sz w:val="19"/>
        </w:rPr>
        <w:t>Menyediakan checklist kontrol keamanan komprehensif bagi developer dan auditor dalam mengimplementasikan Large Language Model (LLM) di platform AuditSphere® serta peralatan kerja internal.</w:t>
      </w:r>
    </w:p>
    <w:p>
      <w:pPr>
        <w:keepNext/>
        <w:spacing w:before="200" w:after="60"/>
      </w:pPr>
      <w:r>
        <w:rPr>
          <w:rFonts w:ascii="Calibri" w:hAnsi="Calibri"/>
          <w:b/>
          <w:color w:val="2E5597"/>
          <w:sz w:val="22"/>
        </w:rPr>
        <w:t>1.1 Arsitektur Pengamanan LLM di AuditSphere®</w:t>
      </w:r>
    </w:p>
    <w:p>
      <w:pPr>
        <w:spacing w:before="0" w:after="60" w:line="276" w:lineRule="auto"/>
      </w:pPr>
      <w:r>
        <w:rPr>
          <w:rFonts w:ascii="Calibri" w:hAnsi="Calibri"/>
          <w:i w:val="0"/>
          <w:sz w:val="19"/>
        </w:rPr>
        <w:t>Seluruh permintaan ke LLM wajib melalui pipeline pengamanan berlapis: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sz w:val="19"/>
        </w:rPr>
        <w:t xml:space="preserve">1. Input Filter: </w:t>
      </w:r>
      <w:r>
        <w:rPr>
          <w:rFonts w:ascii="Calibri" w:hAnsi="Calibri"/>
          <w:sz w:val="19"/>
        </w:rPr>
        <w:t>Validasi input, sanitasi karakter, dan deteksi pola injeksi sebelum diteruskan ke model.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sz w:val="19"/>
        </w:rPr>
        <w:t xml:space="preserve">2. Prompt Template Delimiter: </w:t>
      </w:r>
      <w:r>
        <w:rPr>
          <w:rFonts w:ascii="Calibri" w:hAnsi="Calibri"/>
          <w:sz w:val="19"/>
        </w:rPr>
        <w:t>Penggunaan template instruksi aman dengan delimiter ketat memisahkan data dan instruksi.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sz w:val="19"/>
        </w:rPr>
        <w:t xml:space="preserve">3. LLM Inference Engine: </w:t>
      </w:r>
      <w:r>
        <w:rPr>
          <w:rFonts w:ascii="Calibri" w:hAnsi="Calibri"/>
          <w:sz w:val="19"/>
        </w:rPr>
        <w:t>Inferensi model terlindungi dengan rate limiter dan token budget capping.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sz w:val="19"/>
        </w:rPr>
        <w:t xml:space="preserve">4. Output Validator: </w:t>
      </w:r>
      <w:r>
        <w:rPr>
          <w:rFonts w:ascii="Calibri" w:hAnsi="Calibri"/>
          <w:sz w:val="19"/>
        </w:rPr>
        <w:t>Pemeriksaan respon model untuk mencegah kebocoran system prompt, PII, atau payload XSS.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sz w:val="19"/>
        </w:rPr>
        <w:t xml:space="preserve">5. Privacy Audit Log: </w:t>
      </w:r>
      <w:r>
        <w:rPr>
          <w:rFonts w:ascii="Calibri" w:hAnsi="Calibri"/>
          <w:sz w:val="19"/>
        </w:rPr>
        <w:t>Pencatatan riwayat transaksi inferensi secara tersanitasi tanpa merekam data rahasia.</w:t>
      </w:r>
    </w:p>
    <w:p>
      <w:pPr>
        <w:keepNext/>
        <w:spacing w:before="280" w:after="80"/>
      </w:pPr>
      <w:r>
        <w:rPr>
          <w:rFonts w:ascii="Calibri" w:hAnsi="Calibri"/>
          <w:b/>
          <w:color w:val="1F3864"/>
          <w:sz w:val="26"/>
        </w:rPr>
        <w:t>2. Checklist Kontrol Keamanan LLM (OWASP Top 10 for LLM: 64 Items)</w:t>
      </w:r>
    </w:p>
    <w:p>
      <w:pPr>
        <w:spacing w:before="0" w:after="60" w:line="276" w:lineRule="auto"/>
      </w:pPr>
      <w:r>
        <w:rPr>
          <w:rFonts w:ascii="Calibri" w:hAnsi="Calibri"/>
          <w:i w:val="0"/>
          <w:sz w:val="19"/>
        </w:rPr>
        <w:t>Daftar 64 kontrol keamanan teknis wajib yang mencakup seluruh domain ancaman OWASP LLM: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rPr>
          <w:cantSplit/>
          <w:tblHeader/>
        </w:trPr>
        <w:tc>
          <w:tcPr>
            <w:tcW w:type="dxa" w:w="56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4466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Item Kontrol Keamanan LLM</w:t>
            </w:r>
          </w:p>
        </w:tc>
        <w:tc>
          <w:tcPr>
            <w:tcW w:type="dxa" w:w="9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Metode</w:t>
            </w:r>
          </w:p>
        </w:tc>
        <w:tc>
          <w:tcPr>
            <w:tcW w:type="dxa" w:w="10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21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Evidence / Catatan</w:t>
            </w:r>
          </w:p>
        </w:tc>
      </w:tr>
      <w:tr>
        <w:trPr>
          <w:cantSplit/>
        </w:trPr>
        <w:tc>
          <w:tcPr>
            <w:tcW w:type="dxa" w:w="56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1F3864"/>
                <w:sz w:val="18"/>
              </w:rPr>
              <w:t>2.1</w:t>
            </w:r>
          </w:p>
        </w:tc>
        <w:tc>
          <w:tcPr>
            <w:tcW w:type="dxa" w:w="4466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1F3864"/>
                <w:sz w:val="18"/>
              </w:rPr>
              <w:t>2.1 LLM01: Prompt Injection</w:t>
            </w:r>
          </w:p>
        </w:tc>
        <w:tc>
          <w:tcPr>
            <w:tcW w:type="dxa" w:w="9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  <w:tc>
          <w:tcPr>
            <w:tcW w:type="dxa" w:w="10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  <w:tc>
          <w:tcPr>
            <w:tcW w:type="dxa" w:w="21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Input validation untuk prompt (panjang karakter &amp; format)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M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Validasi panjang payload dan skema input ketat menggunakan Pydantic BaseModel di python-ai/main.py.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Sanitization untuk user input (penghapusan karakter kontrol)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M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3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Prompt template dengan delimiter ketat (=== BEGIN DATA ===)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 + K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4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Rate limiting untuk LLM API (pembatasan request per IP/user)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O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Plugin rate-limiting pada Kong API Gateway membatasi 100 req/menit per IP untuk endpoint /api/python-ai dan frontend.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5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Monitoring anomali prompt (deteksi kata kunci injeksi)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O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6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Sandboxing untuk AI agent execution environment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M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Microservice python-ai berjalan di kontainer terisolasi rb_audit_network tanpa akses shell atau privilege root.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7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Human in the loop untuk seluruh aksi kritikal/destruktif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 + M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Workflow persetujuan berjenjang mewajibkan otorisasi manual auditor/CAE sebelum keputusan audit diterapkan.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8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Logging prompt &amp; output secara aman tanpa menyimpan PII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M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</w:tr>
      <w:tr>
        <w:trPr>
          <w:cantSplit/>
        </w:trPr>
        <w:tc>
          <w:tcPr>
            <w:tcW w:type="dxa" w:w="56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1F3864"/>
                <w:sz w:val="18"/>
              </w:rPr>
              <w:t>2.2</w:t>
            </w:r>
          </w:p>
        </w:tc>
        <w:tc>
          <w:tcPr>
            <w:tcW w:type="dxa" w:w="4466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1F3864"/>
                <w:sz w:val="18"/>
              </w:rPr>
              <w:t>2.2 LLM02: Insecure Output Handling</w:t>
            </w:r>
          </w:p>
        </w:tc>
        <w:tc>
          <w:tcPr>
            <w:tcW w:type="dxa" w:w="9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  <w:tc>
          <w:tcPr>
            <w:tcW w:type="dxa" w:w="10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  <w:tc>
          <w:tcPr>
            <w:tcW w:type="dxa" w:w="21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9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Output validation schema sebelum diserahkan ke frontend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M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Output respon AI diserialisasi dan divalidasi skema Pydantic (anomaly_score, risk_level, breakdown).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10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Sanitization output sebelum dirender di antarmuka browser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M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Nuxt 3 / Vue 3 template auto-escaping mencegah rendering script berbahaya saat menampilkan hasil analitik.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11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Encoding output sesuai konteks tujuan (HTML/JSON/SQL)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M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Framework Vue 3 secara native menerapkan context-aware escaping untuk seluruh data binding teks.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12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Larangan eksekusi langsung output AI sebagai perintah shell/eval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 + M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Output model murni berupa nilai numerik dan teks rekomendasi; dilarang dieksekusi sebagai perintah sistem.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13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Proteksi terhadap rendering tag HTML yang tidak tersanitasi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O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Frontend Nuxt UI menggunakan binding {{ }} tanpa v-html unescaped untuk teks hasil pemrosesan AI.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14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Review output otomatis untuk mendeteksi konten berbahaya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M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15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Penegakan kebijakan konten (content policy enforcement)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 + M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</w:tr>
      <w:tr>
        <w:trPr>
          <w:cantSplit/>
        </w:trPr>
        <w:tc>
          <w:tcPr>
            <w:tcW w:type="dxa" w:w="56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1F3864"/>
                <w:sz w:val="18"/>
              </w:rPr>
              <w:t>2.3</w:t>
            </w:r>
          </w:p>
        </w:tc>
        <w:tc>
          <w:tcPr>
            <w:tcW w:type="dxa" w:w="4466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1F3864"/>
                <w:sz w:val="18"/>
              </w:rPr>
              <w:t>2.3 LLM03: Training Data Poisoning</w:t>
            </w:r>
          </w:p>
        </w:tc>
        <w:tc>
          <w:tcPr>
            <w:tcW w:type="dxa" w:w="9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  <w:tc>
          <w:tcPr>
            <w:tcW w:type="dxa" w:w="10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  <w:tc>
          <w:tcPr>
            <w:tcW w:type="dxa" w:w="21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16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Verifikasi keaslian dan integritas sumber training data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 + K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Dataset pelatihan disimpan lokal di /app/ai_model_training berasal dari audit universe resmi internal.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17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Monitoring kualitas, integritas, dan kebersihan dataset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 + K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AutoRetrainEngine memeriksa kelengkapan kolom, duplikasi, dan distribusi nilai sebelum retraining model.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18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Deteksi anomali pada output respon model pasca pelatihan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O + M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19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Pengujian adversarial red teaming terhadap potensi data poisoning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M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20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Penilaian keamanan dan legalitas vendor penyedia dataset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AuditSphere tidak mengakuisisi dataset pihak ketiga; data pelatihan murni data audit internal dan sintetis.</w:t>
            </w:r>
          </w:p>
        </w:tc>
      </w:tr>
      <w:tr>
        <w:trPr>
          <w:cantSplit/>
        </w:trPr>
        <w:tc>
          <w:tcPr>
            <w:tcW w:type="dxa" w:w="56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1F3864"/>
                <w:sz w:val="18"/>
              </w:rPr>
              <w:t>2.4</w:t>
            </w:r>
          </w:p>
        </w:tc>
        <w:tc>
          <w:tcPr>
            <w:tcW w:type="dxa" w:w="4466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1F3864"/>
                <w:sz w:val="18"/>
              </w:rPr>
              <w:t>2.4 LLM04: Model Denial of Service</w:t>
            </w:r>
          </w:p>
        </w:tc>
        <w:tc>
          <w:tcPr>
            <w:tcW w:type="dxa" w:w="9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  <w:tc>
          <w:tcPr>
            <w:tcW w:type="dxa" w:w="10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  <w:tc>
          <w:tcPr>
            <w:tcW w:type="dxa" w:w="21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21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Rate limiting bertingkat per user dan per tenant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O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Proteksi rate limiting Kong API Gateway (100 req/min) membatasi frekuensi konsumsi endpoint analitik AI.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22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Token limit per request input maupun output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Batasan keras max_tokens: 1000 dikonfigurasi pada pemanggilan model API di server/api/openai.ts.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23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Batas waktu eksekusi (timeout) pada setiap request inferensi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Timeout upstream gateway 60 detik dan Uvicorn timeout 30 detik mencegah blocking process akibat request berat.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24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Resource monitoring berkelanjutan (GPU, CPU, memori)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O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Metrik Prometheus status_code_metrics dan latency_metrics aktif memonitor service analitik di gateway.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25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Cost &amp; budget monitoring dengan ambang batas alerting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26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Penerapan circuit breaker untuk memutus kegagalan berantai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 + K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Mekanisme restart: unless-stopped dan healthcheck container Docker menjaga ketersediaan layanan AI.</w:t>
            </w:r>
          </w:p>
        </w:tc>
      </w:tr>
      <w:tr>
        <w:trPr>
          <w:cantSplit/>
        </w:trPr>
        <w:tc>
          <w:tcPr>
            <w:tcW w:type="dxa" w:w="56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1F3864"/>
                <w:sz w:val="18"/>
              </w:rPr>
              <w:t>2.5</w:t>
            </w:r>
          </w:p>
        </w:tc>
        <w:tc>
          <w:tcPr>
            <w:tcW w:type="dxa" w:w="4466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1F3864"/>
                <w:sz w:val="18"/>
              </w:rPr>
              <w:t>2.5 LLM05: Supply Chain Vulnerabilities</w:t>
            </w:r>
          </w:p>
        </w:tc>
        <w:tc>
          <w:tcPr>
            <w:tcW w:type="dxa" w:w="9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  <w:tc>
          <w:tcPr>
            <w:tcW w:type="dxa" w:w="10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  <w:tc>
          <w:tcPr>
            <w:tcW w:type="dxa" w:w="21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27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Penilaian keamanan menyeluruh terhadap penyedia Foundation Model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Evaluasi kepatuhan penyedia AI tercakup dalam dokumen Cloud Provider Assessment CPA-001.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28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Penyusunan Software Bill of Materials (SBOM) untuk komponen AI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 + O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Seluruh dependensi AI (torch, xgboost, scikit-learn, pydantic) tercatat spesifik versinya di requirements.txt.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29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Verifikasi signature dan checksum integritas bobot model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M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AutoRetrainEngine memverifikasi keberadaan dan validitas bundle model pickle saat inisialisasi modul.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30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Pemindaian kerentanan dependensi AI di pipeline CI/CD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O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31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Pemeriksaan kepatuhan lisensi model open-source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Audit lisensi memverifikasi kepatuhan lisensi komersial: FastAPI (MIT), PyTorch (BSD), Scikit-Learn (BSD).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32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Pemantauan berkala publikasi CVE dan advisory keamanan model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 + O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</w:tr>
      <w:tr>
        <w:trPr>
          <w:cantSplit/>
        </w:trPr>
        <w:tc>
          <w:tcPr>
            <w:tcW w:type="dxa" w:w="56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1F3864"/>
                <w:sz w:val="18"/>
              </w:rPr>
              <w:t>2.6</w:t>
            </w:r>
          </w:p>
        </w:tc>
        <w:tc>
          <w:tcPr>
            <w:tcW w:type="dxa" w:w="4466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1F3864"/>
                <w:sz w:val="18"/>
              </w:rPr>
              <w:t>2.6 LLM06: Sensitive Information Disclosure</w:t>
            </w:r>
          </w:p>
        </w:tc>
        <w:tc>
          <w:tcPr>
            <w:tcW w:type="dxa" w:w="9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  <w:tc>
          <w:tcPr>
            <w:tcW w:type="dxa" w:w="10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  <w:tc>
          <w:tcPr>
            <w:tcW w:type="dxa" w:w="21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33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Klasifikasi data secara otomatis sebelum dikirim ke prompt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 + K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Kebijakan AIP-001 menetapkan klasifikasi data audit dan melarang input data Restricted ke AI publik.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34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Data Loss Prevention (DLP) aktif pada gerbang masukan prompt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M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35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Masking Data Pribadi (PII) secara otomatis pada prompt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M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36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Jaminan zero training pada data pelanggan oleh penyedia API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 + K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Inferensi model machine learning berjalan offline di server internal; data pelanggan tidak dipakai training publik.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37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Penegakan kebijakan retensi dan penghapusan data sementara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 + K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Pemrosesan inferensi python-ai bersifat stateless in-memory tanpa penyimpanan prompt ke storage eksternal.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38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Penyaringan output respon agar tidak membocorkan data pihak lain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M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39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Audit logging tersanitasi tanpa memuat informasi rahasia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M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</w:tr>
      <w:tr>
        <w:trPr>
          <w:cantSplit/>
        </w:trPr>
        <w:tc>
          <w:tcPr>
            <w:tcW w:type="dxa" w:w="56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1F3864"/>
                <w:sz w:val="18"/>
              </w:rPr>
              <w:t>2.7</w:t>
            </w:r>
          </w:p>
        </w:tc>
        <w:tc>
          <w:tcPr>
            <w:tcW w:type="dxa" w:w="4466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1F3864"/>
                <w:sz w:val="18"/>
              </w:rPr>
              <w:t>2.7 LLM07: Insecure Plugin Design</w:t>
            </w:r>
          </w:p>
        </w:tc>
        <w:tc>
          <w:tcPr>
            <w:tcW w:type="dxa" w:w="9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  <w:tc>
          <w:tcPr>
            <w:tcW w:type="dxa" w:w="10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  <w:tc>
          <w:tcPr>
            <w:tcW w:type="dxa" w:w="21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40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Penerapan hak akses minimum (least privilege) untuk plugin AI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 + K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Endpoint python-ai hanya menyediakan fungsi inferensi read-only dan tidak memiliki akses mutasi database.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41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Validasi ketat skema parameter input yang dipanggil plugin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M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Validasi parameter input menggunakan schema Pydantic typed fields untuk seluruh endpoint AI.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42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Validasi respon plugin sebelum diserahkan kembali ke LLM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M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Respon AI diformat ke skema JSON baku sebelum diteruskan ke service pemanggil di backend.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43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Autentikasi terverifikasi untuk setiap eksekusi plugin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M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Akses ke microservice Python AI diwajibkan menyertakan API Key via middleware verify_api_key_middleware.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44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Otorisasi berbasis peran (RBAC) pada fungsi-fungsi plugin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M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Kong Gateway memvalidasi JWT Bearer token sebelum meneruskan panggilan ke endpoint analitik AI.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45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Rate limiting pada frekuensi eksekusi pemanggilan plugin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Plugin rate-limiting Kong membatasi frekuensi request ke endpoint AI guna mencegah spamming.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46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Audit trail lengkap atas aktivitas dan riwayat plugin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Panggilan ke service AI tercatat pada log akses Kong dan logging internal backend microservices.</w:t>
            </w:r>
          </w:p>
        </w:tc>
      </w:tr>
      <w:tr>
        <w:trPr>
          <w:cantSplit/>
        </w:trPr>
        <w:tc>
          <w:tcPr>
            <w:tcW w:type="dxa" w:w="56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1F3864"/>
                <w:sz w:val="18"/>
              </w:rPr>
              <w:t>2.8</w:t>
            </w:r>
          </w:p>
        </w:tc>
        <w:tc>
          <w:tcPr>
            <w:tcW w:type="dxa" w:w="4466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1F3864"/>
                <w:sz w:val="18"/>
              </w:rPr>
              <w:t>2.8 LLM08: Excessive Agency</w:t>
            </w:r>
          </w:p>
        </w:tc>
        <w:tc>
          <w:tcPr>
            <w:tcW w:type="dxa" w:w="9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  <w:tc>
          <w:tcPr>
            <w:tcW w:type="dxa" w:w="10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  <w:tc>
          <w:tcPr>
            <w:tcW w:type="dxa" w:w="21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47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Pembatasan otoritas agen AI hanya pada aksi yang telah diizinkan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 + K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Model AI tidak memiliki hak tulis langsung ke PostgreSQL; seluruh perubahan data wajib disubmit auditor.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48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Kewajiban persetujuan manusia untuk aksi berisiko tinggi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 + M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Semua aksi audit permanen (hapus risiko, approval workpaper, rilis temuan) mewajibkan persetujuan manusia.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49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Daftar putih (whitelist) aksi yang dapat dijalankan secara otonom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M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Fungsi AI terbatas pada daftar rute API terdaftar di FastAPI router tanpa kapabilitas otonom.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50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Pengawasan perilaku agen secara terus-menerus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O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51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Mekanisme rollback atas tindakan yang telah dieksekusi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 + M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52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Tombol penghentian darurat (kill switch) aktif untuk agen AI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M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</w:tr>
      <w:tr>
        <w:trPr>
          <w:cantSplit/>
        </w:trPr>
        <w:tc>
          <w:tcPr>
            <w:tcW w:type="dxa" w:w="56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1F3864"/>
                <w:sz w:val="18"/>
              </w:rPr>
              <w:t>2.9</w:t>
            </w:r>
          </w:p>
        </w:tc>
        <w:tc>
          <w:tcPr>
            <w:tcW w:type="dxa" w:w="4466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1F3864"/>
                <w:sz w:val="18"/>
              </w:rPr>
              <w:t>2.9 LLM09: Overreliance &amp; Hallucination</w:t>
            </w:r>
          </w:p>
        </w:tc>
        <w:tc>
          <w:tcPr>
            <w:tcW w:type="dxa" w:w="9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  <w:tc>
          <w:tcPr>
            <w:tcW w:type="dxa" w:w="10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  <w:tc>
          <w:tcPr>
            <w:tcW w:type="dxa" w:w="21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53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Penelaahan wajib oleh manusia sebelum dokumen AI disahkan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SOP audit internal mewajibkan Lead Auditor dan CAE memvalidasi setiap skor risiko sebelum disahkan.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54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Pemberian label disclaimer pada setiap respon berbasis AI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 + M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Antarmuka dashboard menampilkan indikator visual bahwa skor risiko merupakan kalkulasi prediktif AI.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55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Verifikasi silang terhadap fakta dan angka dalam output AI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M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Kombinasi model Isolation Forest dan XGBoost memverifikasi anomali secara silang terhadap data historis.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56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Penyertaan sitasi sumber asli melalui arsitektur RAG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 + M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Setiap rekomendasi risiko ditautkan ke nomor referensi auditee dan dokumen pendukung dalam workpaper.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57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Penampilan estimasi skor keyakinan model (confidence score)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API mengembalikan skor anomali numerik (0–100) dan confidence probabilitas untuk setiap evaluasi.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58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Pelatihan berkala bagi pengguna tentang batas kemampuan AI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</w:tr>
      <w:tr>
        <w:trPr>
          <w:cantSplit/>
        </w:trPr>
        <w:tc>
          <w:tcPr>
            <w:tcW w:type="dxa" w:w="56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1F3864"/>
                <w:sz w:val="18"/>
              </w:rPr>
              <w:t>2.10</w:t>
            </w:r>
          </w:p>
        </w:tc>
        <w:tc>
          <w:tcPr>
            <w:tcW w:type="dxa" w:w="4466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1F3864"/>
                <w:sz w:val="18"/>
              </w:rPr>
              <w:t>2.10 LLM10: Model Theft &amp; Exfiltration</w:t>
            </w:r>
          </w:p>
        </w:tc>
        <w:tc>
          <w:tcPr>
            <w:tcW w:type="dxa" w:w="9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  <w:tc>
          <w:tcPr>
            <w:tcW w:type="dxa" w:w="10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  <w:tc>
          <w:tcPr>
            <w:tcW w:type="dxa" w:w="21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59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Kontrol akses ketat berbasis IAM ke file bobot model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File bobot model (.pkl) tersimpan di volume privat /app/models dan tidak dapat diakses dari internet publik.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60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Enkripsi data model saat diam (at-rest) dan berpindah (in-transit)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Enkripsi volume penyimpanan VPS dan enkripsi TLS 1.3 pada transmisi data API.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61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Pemberian watermark digital pada model dan output resmi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 + K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62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Pemantauan pola query anomali untuk deteksi model scraping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O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63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Pembatasan kuota penarikan data massal via rate limiting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O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Kong Gateway menerapkan batasan 100 req/menit per IP untuk mencegah bulk data extraction.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64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Audit logging lengkap terhadap setiap akses unduhan model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Setiap pemanggilan model dicatat pada audit log gateway mencakup identitas requester dan timestamp.</w:t>
            </w:r>
          </w:p>
        </w:tc>
      </w:tr>
    </w:tbl>
    <w:p>
      <w:pPr>
        <w:spacing w:before="0" w:after="80"/>
      </w:pPr>
    </w:p>
    <w:p>
      <w:pPr>
        <w:keepNext/>
        <w:spacing w:before="280" w:after="80"/>
      </w:pPr>
      <w:r>
        <w:rPr>
          <w:rFonts w:ascii="Calibri" w:hAnsi="Calibri"/>
          <w:b/>
          <w:color w:val="1F3864"/>
          <w:sz w:val="26"/>
        </w:rPr>
        <w:t>3. Ringkasan &amp; Sign-Off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34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Metrik Kepatuhan LLM</w:t>
            </w:r>
          </w:p>
        </w:tc>
        <w:tc>
          <w:tcPr>
            <w:tcW w:type="dxa" w:w="16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Target</w:t>
            </w:r>
          </w:p>
        </w:tc>
        <w:tc>
          <w:tcPr>
            <w:tcW w:type="dxa" w:w="4026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Keterangan Evaluasi</w:t>
            </w:r>
          </w:p>
        </w:tc>
      </w:tr>
      <w:tr>
        <w:trPr>
          <w:cantSplit/>
        </w:trPr>
        <w:tc>
          <w:tcPr>
            <w:tcW w:type="dxa" w:w="34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Checklist Completion Rate</w:t>
            </w:r>
          </w:p>
        </w:tc>
        <w:tc>
          <w:tcPr>
            <w:tcW w:type="dxa" w:w="16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100%</w:t>
            </w:r>
          </w:p>
        </w:tc>
        <w:tc>
          <w:tcPr>
            <w:tcW w:type="dxa" w:w="40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Seluruh 64 kontrol telah diisi dan diverifikasi.</w:t>
            </w:r>
          </w:p>
        </w:tc>
      </w:tr>
      <w:tr>
        <w:trPr>
          <w:cantSplit/>
        </w:trPr>
        <w:tc>
          <w:tcPr>
            <w:tcW w:type="dxa" w:w="34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Prompt Injection Defense</w:t>
            </w:r>
          </w:p>
        </w:tc>
        <w:tc>
          <w:tcPr>
            <w:tcW w:type="dxa" w:w="16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100%</w:t>
            </w:r>
          </w:p>
        </w:tc>
        <w:tc>
          <w:tcPr>
            <w:tcW w:type="dxa" w:w="40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Seluruh uji coba penetrasi injeksi berhasil diblokir.</w:t>
            </w:r>
          </w:p>
        </w:tc>
      </w:tr>
      <w:tr>
        <w:trPr>
          <w:cantSplit/>
        </w:trPr>
        <w:tc>
          <w:tcPr>
            <w:tcW w:type="dxa" w:w="34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Data Leakage Prevention</w:t>
            </w:r>
          </w:p>
        </w:tc>
        <w:tc>
          <w:tcPr>
            <w:tcW w:type="dxa" w:w="16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0 Kasus</w:t>
            </w:r>
          </w:p>
        </w:tc>
        <w:tc>
          <w:tcPr>
            <w:tcW w:type="dxa" w:w="40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Tidak ada PII atau rahasia yang lolos ke prompt publik.</w:t>
            </w:r>
          </w:p>
        </w:tc>
      </w:tr>
      <w:tr>
        <w:trPr>
          <w:cantSplit/>
        </w:trPr>
        <w:tc>
          <w:tcPr>
            <w:tcW w:type="dxa" w:w="34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Human Oversight Compliance</w:t>
            </w:r>
          </w:p>
        </w:tc>
        <w:tc>
          <w:tcPr>
            <w:tcW w:type="dxa" w:w="16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100%</w:t>
            </w:r>
          </w:p>
        </w:tc>
        <w:tc>
          <w:tcPr>
            <w:tcW w:type="dxa" w:w="40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Aksi kritikal wajib melalui approval resmi auditor.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26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Jabatan Pengesah</w:t>
            </w:r>
          </w:p>
        </w:tc>
        <w:tc>
          <w:tcPr>
            <w:tcW w:type="dxa" w:w="2626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Nama Pejabat</w:t>
            </w:r>
          </w:p>
        </w:tc>
        <w:tc>
          <w:tcPr>
            <w:tcW w:type="dxa" w:w="19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Tanda Tangan</w:t>
            </w:r>
          </w:p>
        </w:tc>
        <w:tc>
          <w:tcPr>
            <w:tcW w:type="dxa" w:w="19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Tanggal</w:t>
            </w:r>
          </w:p>
        </w:tc>
      </w:tr>
      <w:tr>
        <w:trPr>
          <w:cantSplit/>
        </w:trPr>
        <w:tc>
          <w:tcPr>
            <w:tcW w:type="dxa" w:w="26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Technical Lead</w:t>
            </w:r>
          </w:p>
        </w:tc>
        <w:tc>
          <w:tcPr>
            <w:tcW w:type="dxa" w:w="26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Technical Lead</w:t>
            </w:r>
          </w:p>
        </w:tc>
        <w:tc>
          <w:tcPr>
            <w:tcW w:type="dxa" w:w="1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1F3864"/>
                <w:sz w:val="19"/>
              </w:rPr>
              <w:t>[Ditandatangani Digital]</w:t>
            </w:r>
          </w:p>
        </w:tc>
        <w:tc>
          <w:tcPr>
            <w:tcW w:type="dxa" w:w="1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28 September 2026</w:t>
            </w:r>
          </w:p>
        </w:tc>
      </w:tr>
      <w:tr>
        <w:trPr>
          <w:cantSplit/>
        </w:trPr>
        <w:tc>
          <w:tcPr>
            <w:tcW w:type="dxa" w:w="26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Security Officer</w:t>
            </w:r>
          </w:p>
        </w:tc>
        <w:tc>
          <w:tcPr>
            <w:tcW w:type="dxa" w:w="26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Security Officer</w:t>
            </w:r>
          </w:p>
        </w:tc>
        <w:tc>
          <w:tcPr>
            <w:tcW w:type="dxa" w:w="1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1F3864"/>
                <w:sz w:val="19"/>
              </w:rPr>
              <w:t>[Ditandatangani Digital]</w:t>
            </w:r>
          </w:p>
        </w:tc>
        <w:tc>
          <w:tcPr>
            <w:tcW w:type="dxa" w:w="1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28 September 2026</w:t>
            </w:r>
          </w:p>
        </w:tc>
      </w:tr>
    </w:tbl>
    <w:p>
      <w:pPr>
        <w:spacing w:before="0" w:after="80"/>
      </w:pPr>
    </w:p>
    <w:sectPr w:rsidR="00FC693F" w:rsidRPr="0006063C" w:rsidSect="00034616">
      <w:headerReference w:type="default" r:id="rId9"/>
      <w:pgSz w:w="11906" w:h="16838"/>
      <w:pgMar w:top="1300" w:right="1440" w:bottom="13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595959"/>
        <w:sz w:val="17"/>
      </w:rPr>
      <w:t>LLMSC-001 · LLM Security Checklist · v1.0 · Internal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