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3864"/>
          <w:sz w:val="44"/>
        </w:rPr>
        <w:t>Cloud Provider Assessment</w:t>
      </w:r>
    </w:p>
    <w:p>
      <w:pPr>
        <w:spacing w:before="0" w:after="280"/>
      </w:pPr>
      <w:r>
        <w:rPr>
          <w:rFonts w:ascii="Calibri" w:hAnsi="Calibri"/>
          <w:b w:val="0"/>
          <w:color w:val="2E5597"/>
          <w:sz w:val="24"/>
        </w:rPr>
        <w:t>AuditSphere® — Framework Penilaian Kelayakan, Evaluasi Due Diligence &amp; Kepatuhan Penyedia Layanan Cloud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2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Nilai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Nomor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CPA-001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Judul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Cloud Service Provider Assessment Framework &amp; Due Diligence Procedure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Versi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Tanggal Berlaku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Pemilik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Penulis Dokumen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 &amp; DevOps Lead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Penyetujui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 &amp; Procurement Manager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Klasifikasi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Internal Rahasia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Kontrol ISO Terkait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ISO/IEC 27001:2022 (A.5.19, A.5.20, A.5.23), ISO/IEC 27017, CSA CCM v4.0, UU PDP No. 27/2022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Review Berikutnya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2027 (Minimal 1 tahun sekali)</w:t>
            </w:r>
          </w:p>
        </w:tc>
      </w:tr>
      <w:tr>
        <w:trPr>
          <w:cantSplit/>
        </w:trPr>
        <w:tc>
          <w:tcPr>
            <w:tcW w:type="dxa" w:w="26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Target Vendor</w:t>
            </w:r>
          </w:p>
        </w:tc>
        <w:tc>
          <w:tcPr>
            <w:tcW w:type="dxa" w:w="64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Seluruh Calon &amp; Penyedia Cloud Aktif (AWS, GCP, Azure, SaaS Vendors)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Riwayat Revisi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Versi</w:t>
            </w:r>
          </w:p>
        </w:tc>
        <w:tc>
          <w:tcPr>
            <w:tcW w:type="dxa" w:w="16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2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Penulis</w:t>
            </w:r>
          </w:p>
        </w:tc>
        <w:tc>
          <w:tcPr>
            <w:tcW w:type="dxa" w:w="17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27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Perubahan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1.0</w:t>
            </w:r>
          </w:p>
        </w:tc>
        <w:tc>
          <w:tcPr>
            <w:tcW w:type="dxa" w:w="16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 &amp; DevOps Lead</w:t>
            </w:r>
          </w:p>
        </w:tc>
        <w:tc>
          <w:tcPr>
            <w:tcW w:type="dxa" w:w="17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</w:t>
            </w:r>
          </w:p>
        </w:tc>
        <w:tc>
          <w:tcPr>
            <w:tcW w:type="dxa" w:w="2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Penyusunan standar asesmen vendor cloud mencakup 6 domain, pembobotan skor, dan kriteria diskualifikasi.</w:t>
            </w:r>
          </w:p>
        </w:tc>
      </w:tr>
    </w:tbl>
    <w:p>
      <w:pPr>
        <w:spacing w:before="0" w:after="80"/>
      </w:pPr>
    </w:p>
    <w:p>
      <w:pPr>
        <w:spacing w:before="160" w:after="40"/>
      </w:pPr>
      <w:r>
        <w:rPr>
          <w:rFonts w:ascii="Calibri" w:hAnsi="Calibri"/>
          <w:b/>
          <w:color w:val="1F3864"/>
          <w:sz w:val="26"/>
        </w:rPr>
        <w:t>Daftar Isi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1. Tujuan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2. Ruang Lingkup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3. Referensi Standar &amp; Regulasi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4. Metodologi Penilaian &amp; Sistem Pembobotan (6 Kategori)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5. Template Instrumen Evaluasi Due Diligence (30 Kriteria Detail)</w:t>
      </w:r>
    </w:p>
    <w:p>
      <w:pPr>
        <w:spacing w:before="0" w:after="20"/>
      </w:pPr>
      <w:r>
        <w:rPr>
          <w:rFonts w:ascii="Calibri" w:hAnsi="Calibri"/>
          <w:sz w:val="19"/>
        </w:rPr>
        <w:t xml:space="preserve">    5.1 Kategori 1: Legal &amp; Compliance (Bobot 20%)</w:t>
      </w:r>
    </w:p>
    <w:p>
      <w:pPr>
        <w:spacing w:before="0" w:after="20"/>
      </w:pPr>
      <w:r>
        <w:rPr>
          <w:rFonts w:ascii="Calibri" w:hAnsi="Calibri"/>
          <w:sz w:val="19"/>
        </w:rPr>
        <w:t xml:space="preserve">    5.2 Kategori 2: Keamanan Informasi &amp; Teknis (Bobot 30%)</w:t>
      </w:r>
    </w:p>
    <w:p>
      <w:pPr>
        <w:spacing w:before="0" w:after="20"/>
      </w:pPr>
      <w:r>
        <w:rPr>
          <w:rFonts w:ascii="Calibri" w:hAnsi="Calibri"/>
          <w:sz w:val="19"/>
        </w:rPr>
        <w:t xml:space="preserve">    5.3 Kategori 3: Keandalan Operasional &amp; SLA (Bobot 20%)</w:t>
      </w:r>
    </w:p>
    <w:p>
      <w:pPr>
        <w:spacing w:before="0" w:after="20"/>
      </w:pPr>
      <w:r>
        <w:rPr>
          <w:rFonts w:ascii="Calibri" w:hAnsi="Calibri"/>
          <w:sz w:val="19"/>
        </w:rPr>
        <w:t xml:space="preserve">    5.4 Kategori 4: Perlindungan Data &amp; Privasi (Bobot 15%)</w:t>
      </w:r>
    </w:p>
    <w:p>
      <w:pPr>
        <w:spacing w:before="0" w:after="20"/>
      </w:pPr>
      <w:r>
        <w:rPr>
          <w:rFonts w:ascii="Calibri" w:hAnsi="Calibri"/>
          <w:sz w:val="19"/>
        </w:rPr>
        <w:t xml:space="preserve">    5.5 Kategori 5: Finansial &amp; Stabilitas Bisnis (Bobot 10%)</w:t>
      </w:r>
    </w:p>
    <w:p>
      <w:pPr>
        <w:spacing w:before="0" w:after="20"/>
      </w:pPr>
      <w:r>
        <w:rPr>
          <w:rFonts w:ascii="Calibri" w:hAnsi="Calibri"/>
          <w:sz w:val="19"/>
        </w:rPr>
        <w:t xml:space="preserve">    5.6 Kategori 6: Kemudahan Migrasi &amp; Exit Strategy (Bobot 5%)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6. Hasil Evaluasi Benchmark Komparatif (AWS vs GCP vs Azure)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7. Kriteria Keputusan Kelayakan &amp; Batas Kelulusan (Passing Score)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8. Daftar Pertanyaan Verifikasi Wajib (Due Diligence Questionnaire)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9. Kriteria Diskualifikasi Mutlak (Red Flags)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10. Frekuensi Peninjauan Berkala Berbasis Tingkat Risiko Vendor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11. Lembar Pengesahan &amp; Tanda Tangan Resmi</w:t>
      </w:r>
    </w:p>
    <w:p>
      <w:pPr>
        <w:spacing w:before="0" w:after="20"/>
      </w:pPr>
      <w:r>
        <w:rPr>
          <w:rFonts w:ascii="Calibri" w:hAnsi="Calibri"/>
          <w:b/>
          <w:color w:val="1F3864"/>
          <w:sz w:val="19"/>
        </w:rPr>
        <w:t>12. Checklist Persiapan Penetration Testing (Pre-Pentest) auditsphere.app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1. Tujuan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Dokumen ini menyediakan metodologi penilaian objektif dan komprehensif bagi PT Bina Audita Indonesia dalam mengevaluasi, menyeleksi, dan meninjau kinerja penyedia layanan cloud (Cloud Service Provider - CSP) sebelum pengikatan kontrak maupun sebagai bahan evaluasi berkala.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Tujuan spesifik dari instrumen penilaian ini adalah: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1. Kepatuhan Standar: </w:t>
      </w:r>
      <w:r>
        <w:rPr>
          <w:rFonts w:ascii="Calibri" w:hAnsi="Calibri"/>
          <w:sz w:val="19"/>
        </w:rPr>
        <w:t>Memastikan penyedia cloud memenuhi standar tata kelola keamanan ISO/IEC 27001 dan ISO/IEC 27017.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2. Kepatuhan UU PDP: </w:t>
      </w:r>
      <w:r>
        <w:rPr>
          <w:rFonts w:ascii="Calibri" w:hAnsi="Calibri"/>
          <w:sz w:val="19"/>
        </w:rPr>
        <w:t>Memverifikasi pemenuhan regulasi perlindungan data pribadi dan kedaulatan data (Data Residency di Indonesia).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3. Manajemen Risiko: </w:t>
      </w:r>
      <w:r>
        <w:rPr>
          <w:rFonts w:ascii="Calibri" w:hAnsi="Calibri"/>
          <w:sz w:val="19"/>
        </w:rPr>
        <w:t>Mengidentifikasi risiko teknis, operasional, hukum, dan finansial sebelum data perusahaan ditempatkan di cloud.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4. Standarisasi Pengadaan: </w:t>
      </w:r>
      <w:r>
        <w:rPr>
          <w:rFonts w:ascii="Calibri" w:hAnsi="Calibri"/>
          <w:sz w:val="19"/>
        </w:rPr>
        <w:t>Menstandarisasi proses pengadaan layanan teknologi informasi (Procurement Due Diligence).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2. Ruang Lingkup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Ruang lingkup asesmen mencakup seluruh penyedia layanan komputasi awan yang digunakan atau direncanakan akan diadopsi oleh PT Bina Audita Indonesia, meliputi: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• IaaS / PaaS Provider: </w:t>
      </w:r>
      <w:r>
        <w:rPr>
          <w:rFonts w:ascii="Calibri" w:hAnsi="Calibri"/>
          <w:sz w:val="19"/>
        </w:rPr>
        <w:t>Penyedia infrastruktur komputasi, jaringan, dan penyimpanan (AWS, GCP, Azure).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• SaaS Provider: </w:t>
      </w:r>
      <w:r>
        <w:rPr>
          <w:rFonts w:ascii="Calibri" w:hAnsi="Calibri"/>
          <w:sz w:val="19"/>
        </w:rPr>
        <w:t>Penyedia aplikasi produktivitas dan operasional (Google Workspace, Jira, GitHub, Slack, SendGrid).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• MSP / Hosting Provider: </w:t>
      </w:r>
      <w:r>
        <w:rPr>
          <w:rFonts w:ascii="Calibri" w:hAnsi="Calibri"/>
          <w:sz w:val="19"/>
        </w:rPr>
        <w:t>Penyedia layanan terkelola pihak ketiga (Managed Security Service Provider / Cloud Hosting).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3. Referensi Standar &amp; Regulasi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ISO/IEC 27001:2022: </w:t>
      </w:r>
      <w:r>
        <w:rPr>
          <w:rFonts w:ascii="Calibri" w:hAnsi="Calibri"/>
          <w:sz w:val="19"/>
        </w:rPr>
        <w:t>Keamanan informasi dalam hubungan pemasok (A.5.19), Pengelolaan keamanan informasi dalam kesepakatan pemasok (A.5.20), dan Keamanan layanan cloud (A.5.23).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ISO/IEC 27017:2015: </w:t>
      </w:r>
      <w:r>
        <w:rPr>
          <w:rFonts w:ascii="Calibri" w:hAnsi="Calibri"/>
          <w:sz w:val="19"/>
        </w:rPr>
        <w:t>Panduan kontrol keamanan khusus komputasi awan.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CSA CCM v4.0: </w:t>
      </w:r>
      <w:r>
        <w:rPr>
          <w:rFonts w:ascii="Calibri" w:hAnsi="Calibri"/>
          <w:sz w:val="19"/>
        </w:rPr>
        <w:t>Cloud Security Alliance Cloud Controls Matrix (CCM v4.0).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SMP-001 &amp; SAP-001: </w:t>
      </w:r>
      <w:r>
        <w:rPr>
          <w:rFonts w:ascii="Calibri" w:hAnsi="Calibri"/>
          <w:sz w:val="19"/>
        </w:rPr>
        <w:t>Kebijakan &amp; Prosedur Penilaian Pemasok PT Bina Audita Indonesia.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UU PDP No. 27/2022: </w:t>
      </w:r>
      <w:r>
        <w:rPr>
          <w:rFonts w:ascii="Calibri" w:hAnsi="Calibri"/>
          <w:sz w:val="19"/>
        </w:rPr>
        <w:t>Undang-Undang Perlindungan Data Pribadi No. 27 Tahun 2022.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4. Metodologi Penilaian &amp; Sistem Pembobotan (6 Kategori)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Penilaian kelayakan penyedia cloud dihitung menggunakan formula pembobotan multi-faktor dengan total bobot 100% yang terbagi ke dalam 6 kategori evaluasi: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 Evaluasi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Bobot</w:t>
            </w:r>
          </w:p>
        </w:tc>
        <w:tc>
          <w:tcPr>
            <w:tcW w:type="dxa" w:w="4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Cakupan Penilaian Utama</w:t>
            </w:r>
          </w:p>
        </w:tc>
        <w:tc>
          <w:tcPr>
            <w:tcW w:type="dxa" w:w="19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Metode Verifikasi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1. Legal &amp; Compliance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20%</w:t>
            </w:r>
          </w:p>
        </w:tc>
        <w:tc>
          <w:tcPr>
            <w:tcW w:type="dxa" w:w="4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Sertifikasi internasional (ISO 27001, 27017, SOC 2), kepatuhan UU PDP, klausul DPA.</w:t>
            </w:r>
          </w:p>
        </w:tc>
        <w:tc>
          <w:tcPr>
            <w:tcW w:type="dxa" w:w="1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Pemeriksaan sertifikat resmi &amp; legal review.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2. Security &amp; Architecture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30%</w:t>
            </w:r>
          </w:p>
        </w:tc>
        <w:tc>
          <w:tcPr>
            <w:tcW w:type="dxa" w:w="4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Enkripsi at-rest/in-transit, Key Management (KMS), IAM, MFA, WAF, logging &amp; monitoring.</w:t>
            </w:r>
          </w:p>
        </w:tc>
        <w:tc>
          <w:tcPr>
            <w:tcW w:type="dxa" w:w="1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Pemeriksaan arsitektur teknis &amp; audit report.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3. Operational &amp; SLA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20%</w:t>
            </w:r>
          </w:p>
        </w:tc>
        <w:tc>
          <w:tcPr>
            <w:tcW w:type="dxa" w:w="4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Komitmen ketersediaan (SLA ≥ 99.9%), dukungan teknis 24/7, multi-AZ, disaster recovery.</w:t>
            </w:r>
          </w:p>
        </w:tc>
        <w:tc>
          <w:tcPr>
            <w:tcW w:type="dxa" w:w="1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Evaluasi kontrak SLA &amp; histori outage.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4. Data Protection &amp; Privacy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15%</w:t>
            </w:r>
          </w:p>
        </w:tc>
        <w:tc>
          <w:tcPr>
            <w:tcW w:type="dxa" w:w="4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Lokasi pusat data di Indonesia, kepemilikan data, retensi backup, pemusnahan data.</w:t>
            </w:r>
          </w:p>
        </w:tc>
        <w:tc>
          <w:tcPr>
            <w:tcW w:type="dxa" w:w="1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Audit lokasi data center &amp; verifikasi DPA.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5. Financial &amp; Stability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10%</w:t>
            </w:r>
          </w:p>
        </w:tc>
        <w:tc>
          <w:tcPr>
            <w:tcW w:type="dxa" w:w="4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Transparansi harga, stabilitas finansial korporasi CSP, reputasi pasar jangka panjang.</w:t>
            </w:r>
          </w:p>
        </w:tc>
        <w:tc>
          <w:tcPr>
            <w:tcW w:type="dxa" w:w="1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Laporan keuangan korporasi &amp; FinOps pricing.</w:t>
            </w:r>
          </w:p>
        </w:tc>
      </w:tr>
      <w:tr>
        <w:trPr>
          <w:cantSplit/>
        </w:trPr>
        <w:tc>
          <w:tcPr>
            <w:tcW w:type="dxa" w:w="22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6. Portability &amp; Exit Strategy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5%</w:t>
            </w:r>
          </w:p>
        </w:tc>
        <w:tc>
          <w:tcPr>
            <w:tcW w:type="dxa" w:w="4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Ketersediaan tools ekspor data, format data terbuka, klausul pemutusan kontrak.</w:t>
            </w:r>
          </w:p>
        </w:tc>
        <w:tc>
          <w:tcPr>
            <w:tcW w:type="dxa" w:w="19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Uji tools ekspor &amp; analisis kontrak.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5. Template Instrumen Evaluasi Due Diligence (30 Kriteria Detail)</w:t>
      </w: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5.1 Kategori 1: Legal &amp; Compliance (Bobot 20%)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4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Kriteria Evaluasi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Bobot Sub</w:t>
            </w:r>
          </w:p>
        </w:tc>
        <w:tc>
          <w:tcPr>
            <w:tcW w:type="dxa" w:w="1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 (1-5)</w:t>
            </w:r>
          </w:p>
        </w:tc>
        <w:tc>
          <w:tcPr>
            <w:tcW w:type="dxa" w:w="2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Catatan &amp; Bukti Objektif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Memiliki sertifikasi ISO/IEC 27001 aktif yang diterbitkan badan akreditasi terpercaya.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Sertifikat ISO 27001 valid terlampir.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Memiliki sertifikasi ISO/IEC 27017 khusus untuk keamanan layanan komputasi awan.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Laporan kepatuhan ISO 27017 tersedia.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Memiliki sertifikasi ISO/IEC 27018 terkait perlindungan data pribadi (PII) di cloud publik.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4.5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Sertifikat ISO 27018 tersedia.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4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Menyediakan laporan audit SOC 2 Type II independen dalam kurun waktu 12 bulan terakhir.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Laporan SOC 2 Type II tanpa kualifikasi negatif.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5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Kepatuhan penuh terhadap UU PDP No. 27/2022 dan kesediaan menandatangani Data Processing Agreement (DPA).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Adendum DPA standar ditandatangani.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5.2 Kategori 2: Keamanan Informasi &amp; Teknis (Bobot 30%)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4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Kriteria Evaluasi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Bobot Sub</w:t>
            </w:r>
          </w:p>
        </w:tc>
        <w:tc>
          <w:tcPr>
            <w:tcW w:type="dxa" w:w="1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 (1-5)</w:t>
            </w:r>
          </w:p>
        </w:tc>
        <w:tc>
          <w:tcPr>
            <w:tcW w:type="dxa" w:w="2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Catatan &amp; Bukti Objektif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6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Dukungan enkripsi at-rest berbasis algoritma AES-256 pada seluruh media penyimpanan.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Default AES-256 pada seluruh bucket &amp; EBS/disk.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7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Dukungan enkripsi in-transit menggunakan protokol TLS 1.3 secara menyeluruh.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HTTPS enforced, deprecated cipher dinonaktifkan.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8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Dukungan Key Management Service (KMS) terintegrasi Hardware Security Module (FIPS 140-2 Level 3).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Customer Managed Keys (CMK) didukung.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9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Sistem Identity &amp; Access Management (IAM) granular berbasis Role-Based Access Control (RBAC).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Policy granular per aksi API &amp; resource arn.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10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Dukungan Multi-Factor Authentication (MFA) berbasis hardware token / authenticator app.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Enforced MFA untuk akses konsol &amp; CLI.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11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Dukungan isolasi jaringan Virtual Private Cloud (VPC), subnet privat, dan firewall granular.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Group &amp; NACL stateful/stateless.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12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Layanan Web Application Firewall (WAF) dan mitigasi serangan DDoS otomatis terkelola.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AWS Shield / Cloud Armor terintegrasi.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13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Kemampuan audit logging tersentralisasi (CloudTrail/setara) yang tidak dapat dimanipulasi.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Log immutable &amp; real-time export ke SIEM.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14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Prosedur vulnerability management teratur dan laporan penetration testing berkala.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4.5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Pemberitahuan advisory keamanan cepat.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5.3 Kategori 3: Keandalan Operasional &amp; SLA (Bobot 20%)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4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Kriteria Evaluasi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Bobot Sub</w:t>
            </w:r>
          </w:p>
        </w:tc>
        <w:tc>
          <w:tcPr>
            <w:tcW w:type="dxa" w:w="1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 (1-5)</w:t>
            </w:r>
          </w:p>
        </w:tc>
        <w:tc>
          <w:tcPr>
            <w:tcW w:type="dxa" w:w="2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Catatan &amp; Bukti Objektif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15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Jaminan Service Level Agreement (SLA) ketersediaan bulanan minimal ≥ 99.9% disertai kompensasi finansial.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SLA 99.95% - 99.99% dengan service credit.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16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Layanan dukungan teknis darurat tingkat enterprise siaga 24/7/365 dengan respon &lt; 15 menit.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4.5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Enterprise Support Plan aktif.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17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Infrastruktur pusat data redundan multi-Availability Zone (minimal 3 AZ dalam satu kawasan).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3 AZ aktif di Region Jakarta.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18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Kemampuan arsitektur Disaster Recovery (DR) lintas kawasan dengan target RTO/RPO rendah.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4.5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Dukungan cross-region replication otomatis.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19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Ketersediaan status page publik yang transparan terkait insiden gangguan layanan secara real-time.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Service Health Dashboard publik aktif.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5.4 Kategori 4: Perlindungan Data &amp; Privasi (Bobot 15%)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4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Kriteria Evaluasi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Bobot Sub</w:t>
            </w:r>
          </w:p>
        </w:tc>
        <w:tc>
          <w:tcPr>
            <w:tcW w:type="dxa" w:w="1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 (1-5)</w:t>
            </w:r>
          </w:p>
        </w:tc>
        <w:tc>
          <w:tcPr>
            <w:tcW w:type="dxa" w:w="2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Catatan &amp; Bukti Objektif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20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Keberadaan data center fisik di dalam wilayah yurisdiksi Indonesia (Data Residency).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Region Jakarta aktif beroperasi.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21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Fasilitas automated backup terenkripsi, snapshot berjadwal, dan pengujian restore berkala.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Snapshot harian &amp; point-in-time recovery.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22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Prosedur penghapusan data aman permanen (Cryptographic Erasure / Zero Overwrite).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4.5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Sesuai pedoman NIST SP 800-88.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23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Dukungan portabilitas data penuh tanpa pembebanan biaya retrieval yang diskriminatif.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Egress rate standar industri.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24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Transparansi pengungkapan keterlibatan sub-prosesor pihak ketiga.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4.5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Daftar sub-processor dipublikasikan resmi.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5.5 Kategori 5: Finansial &amp; Stabilitas Bisnis (Bobot 10%)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4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Kriteria Evaluasi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Bobot Sub</w:t>
            </w:r>
          </w:p>
        </w:tc>
        <w:tc>
          <w:tcPr>
            <w:tcW w:type="dxa" w:w="1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 (1-5)</w:t>
            </w:r>
          </w:p>
        </w:tc>
        <w:tc>
          <w:tcPr>
            <w:tcW w:type="dxa" w:w="2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Catatan &amp; Bukti Objektif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25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Struktur harga layanan kompetitif dan fleksibel (Pay-as-you-go, Reserved, Savings Plans).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Diskon komitmen 1-3 tahun tersedia.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26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Transparansi rincian penagihan, ketersediaan billing dashboard granular, dan budget alert.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4.5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Cost explorer terperinci per tag resource.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27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Stabilitas keuangan korporasi penyedia, reputasi pasar teruji, dan rekam jejak bisnis jangka panjang.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3%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5.0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Penyedia hyperscaler terkemuka dunia.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5597"/>
          <w:sz w:val="22"/>
        </w:rPr>
        <w:t>5.6 Kategori 6: Kemudahan Migrasi &amp; Exit Strategy (Bobot 5%)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</w:t>
            </w:r>
          </w:p>
        </w:tc>
        <w:tc>
          <w:tcPr>
            <w:tcW w:type="dxa" w:w="4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Kriteria Evaluasi</w:t>
            </w:r>
          </w:p>
        </w:tc>
        <w:tc>
          <w:tcPr>
            <w:tcW w:type="dxa" w:w="1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Bobot Sub</w:t>
            </w:r>
          </w:p>
        </w:tc>
        <w:tc>
          <w:tcPr>
            <w:tcW w:type="dxa" w:w="11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Skor (1-5)</w:t>
            </w:r>
          </w:p>
        </w:tc>
        <w:tc>
          <w:tcPr>
            <w:tcW w:type="dxa" w:w="2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Catatan &amp; Bukti Objektif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28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Penyediaan tools ekspor data massal resmi dan kompatibilitas format standar industri.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4.5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CLI &amp; API ekspor massal siap pakai.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29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Ketersediaan dokumentasi teknis dan dukungan konsultasi bantuan transisi migrasi keluar.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2%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4.0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Dokumentasi migrasi lengkap.</w:t>
            </w:r>
          </w:p>
        </w:tc>
      </w:tr>
      <w:tr>
        <w:trPr>
          <w:cantSplit/>
        </w:trPr>
        <w:tc>
          <w:tcPr>
            <w:tcW w:type="dxa" w:w="5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7"/>
              </w:rPr>
              <w:t>30</w:t>
            </w:r>
          </w:p>
        </w:tc>
        <w:tc>
          <w:tcPr>
            <w:tcW w:type="dxa" w:w="4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Ketentuan klausul pengakhiran kontrak yang adil tanpa penalti pemutusan yang tidak rasional.</w:t>
            </w:r>
          </w:p>
        </w:tc>
        <w:tc>
          <w:tcPr>
            <w:tcW w:type="dxa" w:w="1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1%</w:t>
            </w:r>
          </w:p>
        </w:tc>
        <w:tc>
          <w:tcPr>
            <w:tcW w:type="dxa" w:w="11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4.5</w:t>
            </w:r>
          </w:p>
        </w:tc>
        <w:tc>
          <w:tcPr>
            <w:tcW w:type="dxa" w:w="2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Ketentuan terminasi standar (30 hari pemberitahuan).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6. Hasil Evaluasi Benchmark Komparatif (AWS vs GCP vs Azure)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cantSplit/>
          <w:tblHeader/>
        </w:trPr>
        <w:tc>
          <w:tcPr>
            <w:tcW w:type="dxa" w:w="24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Kategori Evaluasi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Bobot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AWS Jakarta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GCP Jakarta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Azure SE Asia</w:t>
            </w:r>
          </w:p>
        </w:tc>
        <w:tc>
          <w:tcPr>
            <w:tcW w:type="dxa" w:w="12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Standar Minimum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1. Legal &amp; Compliance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20%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5.0 (Skor: 1.00)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5.0 (Skor: 1.00)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5.0 (Skor: 1.00)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≥ 4.0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2. Security &amp; Architecture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30%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5.0 (Skor: 1.50)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5.0 (Skor: 1.50)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5.0 (Skor: 1.50)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≥ 4.0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3. Operational &amp; SLA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20%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4.8 (Skor: 0.96)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4.7 (Skor: 0.94)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4.6 (Skor: 0.92)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≥ 3.5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4. Data Protection &amp; Privacy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15%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4.8 (Skor: 0.72)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4.8 (Skor: 0.72)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4.5 (Skor: 0.68)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≥ 4.0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5. Financial &amp; Stability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10%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4.0 (Skor: 0.40)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4.2 (Skor: 0.42)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4.1 (Skor: 0.41)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≥ 3.0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6. Portability &amp; Exit Strategy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5%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4.2 (Skor: 0.21)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4.4 (Skor: 0.22)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4.2 (Skor: 0.21)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≥ 3.0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TOTAL SKOR KELAYAKAN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100%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4.79 / 5.0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4.80 / 5.0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4.72 / 5.0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≥ 4.0 (Lolos)</w:t>
            </w:r>
          </w:p>
        </w:tc>
      </w:tr>
      <w:tr>
        <w:trPr>
          <w:cantSplit/>
        </w:trPr>
        <w:tc>
          <w:tcPr>
            <w:tcW w:type="dxa" w:w="24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STATUS KELAYAKAN FINAL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-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SANGAT LOLOS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SANGAT LOLOS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SANGAT LOLOS</w:t>
            </w:r>
          </w:p>
        </w:tc>
        <w:tc>
          <w:tcPr>
            <w:tcW w:type="dxa" w:w="12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REKOMENDASI ADOPSI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7. Kriteria Keputusan Kelayakan &amp; Batas Kelulusan (Passing Score)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Keputusan pengadaan atau perpanjangan kontrak vendor cloud ditetapkan berdasarkan nilai akhir tertimbang: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17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Rentang Skor Akhir</w:t>
            </w:r>
          </w:p>
        </w:tc>
        <w:tc>
          <w:tcPr>
            <w:tcW w:type="dxa" w:w="2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Predikat Kelayakan</w:t>
            </w:r>
          </w:p>
        </w:tc>
        <w:tc>
          <w:tcPr>
            <w:tcW w:type="dxa" w:w="51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Keputusan &amp; Tindak Lanjut</w:t>
            </w:r>
          </w:p>
        </w:tc>
      </w:tr>
      <w:tr>
        <w:trPr>
          <w:cantSplit/>
        </w:trPr>
        <w:tc>
          <w:tcPr>
            <w:tcW w:type="dxa" w:w="1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4.50 – 5.00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Sangat Lolos (Superior)</w:t>
            </w:r>
          </w:p>
        </w:tc>
        <w:tc>
          <w:tcPr>
            <w:tcW w:type="dxa" w:w="5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Disetujui penuh untuk implementasi beban kerja produksi kritikal.</w:t>
            </w:r>
          </w:p>
        </w:tc>
      </w:tr>
      <w:tr>
        <w:trPr>
          <w:cantSplit/>
        </w:trPr>
        <w:tc>
          <w:tcPr>
            <w:tcW w:type="dxa" w:w="1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4.00 – 4.49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Lolos (Compliant)</w:t>
            </w:r>
          </w:p>
        </w:tc>
        <w:tc>
          <w:tcPr>
            <w:tcW w:type="dxa" w:w="5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Disetujui untuk implementasi dengan pemantauan operasional reguler.</w:t>
            </w:r>
          </w:p>
        </w:tc>
      </w:tr>
      <w:tr>
        <w:trPr>
          <w:cantSplit/>
        </w:trPr>
        <w:tc>
          <w:tcPr>
            <w:tcW w:type="dxa" w:w="1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3.00 – 3.99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Perlu Perbaikan (Conditional)</w:t>
            </w:r>
          </w:p>
        </w:tc>
        <w:tc>
          <w:tcPr>
            <w:tcW w:type="dxa" w:w="5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Hanya diizinkan untuk beban kerja non-kritis dengan rencana aksi perbaikan dalam 90 hari.</w:t>
            </w:r>
          </w:p>
        </w:tc>
      </w:tr>
      <w:tr>
        <w:trPr>
          <w:cantSplit/>
        </w:trPr>
        <w:tc>
          <w:tcPr>
            <w:tcW w:type="dxa" w:w="17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&lt; 3.00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Tidak Lolos (Rejected)</w:t>
            </w:r>
          </w:p>
        </w:tc>
        <w:tc>
          <w:tcPr>
            <w:tcW w:type="dxa" w:w="51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Dilarang digunakan. Wajib mencari penyedia alternatif atau terminasi layanan segera.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8. Daftar Pertanyaan Verifikasi Wajib (Due Diligence Questionnaire)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Daftar pertanyaan wajib yang harus dijawab secara tertulis oleh calon vendor atau diverifikasi oleh tim penilai: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1. Sertifikasi Resmi: </w:t>
      </w:r>
      <w:r>
        <w:rPr>
          <w:rFonts w:ascii="Calibri" w:hAnsi="Calibri"/>
          <w:sz w:val="19"/>
        </w:rPr>
        <w:t>Apakah penyedia memiliki sertifikasi ISO 27001, ISO 27017, ISO 27018, dan SOC 2 Type II yang masih berlaku?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2. Kedaulatan Data: </w:t>
      </w:r>
      <w:r>
        <w:rPr>
          <w:rFonts w:ascii="Calibri" w:hAnsi="Calibri"/>
          <w:sz w:val="19"/>
        </w:rPr>
        <w:t>Apakah seluruh data pelanggan dijamin berada dan diproses di wilayah Republik Indonesia?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3. Standar Enkripsi: </w:t>
      </w:r>
      <w:r>
        <w:rPr>
          <w:rFonts w:ascii="Calibri" w:hAnsi="Calibri"/>
          <w:sz w:val="19"/>
        </w:rPr>
        <w:t>Algoritma enkripsi apa yang diterapkan untuk data at-rest dan in-transit secara default?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4. Manajemen Kunci: </w:t>
      </w:r>
      <w:r>
        <w:rPr>
          <w:rFonts w:ascii="Calibri" w:hAnsi="Calibri"/>
          <w:sz w:val="19"/>
        </w:rPr>
        <w:t>Apakah pelanggan memegang kendali penuh atas kunci enkripsi (Customer Managed Keys)?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5. Jaminan SLA: </w:t>
      </w:r>
      <w:r>
        <w:rPr>
          <w:rFonts w:ascii="Calibri" w:hAnsi="Calibri"/>
          <w:sz w:val="19"/>
        </w:rPr>
        <w:t>Berapa jaminan komitmen ketersediaan (SLA) dan bagaimana mekanisme pemberian kompensasi jika SLA tidak tercapai?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6. Notifikasi Insiden: </w:t>
      </w:r>
      <w:r>
        <w:rPr>
          <w:rFonts w:ascii="Calibri" w:hAnsi="Calibri"/>
          <w:sz w:val="19"/>
        </w:rPr>
        <w:t>Bagaimana prosedur pemberitahuan dini apabila terjadi insiden kebocoran keamanan pada sistem vendor?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7. Portabilitas Data: </w:t>
      </w:r>
      <w:r>
        <w:rPr>
          <w:rFonts w:ascii="Calibri" w:hAnsi="Calibri"/>
          <w:sz w:val="19"/>
        </w:rPr>
        <w:t>Format file apa saja yang disediakan bagi pelanggan untuk mengekspor seluruh data saat kontrak berakhir?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sz w:val="19"/>
        </w:rPr>
        <w:t xml:space="preserve">8. Pemusnahan Data: </w:t>
      </w:r>
      <w:r>
        <w:rPr>
          <w:rFonts w:ascii="Calibri" w:hAnsi="Calibri"/>
          <w:sz w:val="19"/>
        </w:rPr>
        <w:t>Apakah penyedia bersedia menerbitkan Certificate of Destruction tertulis setelah kontrak diakhiri?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9. Kriteria Diskualifikasi Mutlak (Red Flags)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Penyedia cloud dinyatakan GUGUR SECARA OTOMATIS tanpa melihat skor kategori lainnya apabila ditemukan salah satu kondisi Red Flag berikut: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sz w:val="19"/>
        </w:rPr>
        <w:t>❌ Penyedia tidak memiliki sertifikasi keamanan informasi independen (ISO/IEC 27001 atau SOC 2 Type II).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sz w:val="19"/>
        </w:rPr>
        <w:t>❌ Lokasi penyimpanan data tidak transparan atau menolak komitmen residensi data di Indonesia.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sz w:val="19"/>
        </w:rPr>
        <w:t>❌ Tidak mendukung enkripsi data at-rest atau menolak enkripsi in-transit TLS 1.3.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sz w:val="19"/>
        </w:rPr>
        <w:t>❌ Tidak mendukung autentikasi Multi-Factor Authentication (MFA) pada akun administrator.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sz w:val="19"/>
        </w:rPr>
        <w:t>❌ Komitmen SLA ketersediaan di bawah standar industri (&lt; 99.0%).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sz w:val="19"/>
        </w:rPr>
        <w:t>❌ Tidak memiliki arsitektur Disaster Recovery atau kemampuan redundansi data.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sz w:val="19"/>
        </w:rPr>
        <w:t>❌ Menolak menandatangani perjanjian pemrosesan data pribadi (DPA) sesuai UU PDP.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sz w:val="19"/>
        </w:rPr>
        <w:t>❌ Klausul kontrak memberlakukan lock-in ekstrem dan melarang ekspor data pelanggan.</w:t>
      </w: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10. Frekuensi Peninjauan Berkala Berbasis Tingkat Risiko Vendor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Klasifikasi Risiko Vendor</w:t>
            </w:r>
          </w:p>
        </w:tc>
        <w:tc>
          <w:tcPr>
            <w:tcW w:type="dxa" w:w="32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Kriteria Layanan Cloud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Periode Evaluasi Ulang</w:t>
            </w:r>
          </w:p>
        </w:tc>
        <w:tc>
          <w:tcPr>
            <w:tcW w:type="dxa" w:w="20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PIC Penilai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Kritikal (Critical Tier)</w:t>
            </w:r>
          </w:p>
        </w:tc>
        <w:tc>
          <w:tcPr>
            <w:tcW w:type="dxa" w:w="3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Menyimpan data produksi inti, database klien, core API AuditSphere® (misal AWS Production).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Setiap 3 Bulan (Kuartalan)</w:t>
            </w:r>
          </w:p>
        </w:tc>
        <w:tc>
          <w:tcPr>
            <w:tcW w:type="dxa" w:w="2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 &amp; CISO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Tinggi (High Tier)</w:t>
            </w:r>
          </w:p>
        </w:tc>
        <w:tc>
          <w:tcPr>
            <w:tcW w:type="dxa" w:w="3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Menyimpan source code repositori, CI/CD pipeline, monitoring logs (misal GitHub, GCP AI).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Setiap 6 Bulan (Semester)</w:t>
            </w:r>
          </w:p>
        </w:tc>
        <w:tc>
          <w:tcPr>
            <w:tcW w:type="dxa" w:w="2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DevOps Lead &amp; Security Officer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Sedang (Medium Tier)</w:t>
            </w:r>
          </w:p>
        </w:tc>
        <w:tc>
          <w:tcPr>
            <w:tcW w:type="dxa" w:w="3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Layanan kolaborasi internal dan tiket kerja (misal Jira, Slack, Google Workspace).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Setiap 1 Tahun (Tahunan)</w:t>
            </w:r>
          </w:p>
        </w:tc>
        <w:tc>
          <w:tcPr>
            <w:tcW w:type="dxa" w:w="2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IT Lead &amp; Security Officer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Rendah (Low Tier)</w:t>
            </w:r>
          </w:p>
        </w:tc>
        <w:tc>
          <w:tcPr>
            <w:tcW w:type="dxa" w:w="32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Layanan informasi publik, email blast non-kritis (misal Mailchimp marketing).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Setiap 1 Tahun (Tahunan)</w:t>
            </w:r>
          </w:p>
        </w:tc>
        <w:tc>
          <w:tcPr>
            <w:tcW w:type="dxa" w:w="20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Procurement &amp; IT Lead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11. Lembar Pengesahan &amp; Tanda Tangan Resmi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18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Peran Pengesahan</w:t>
            </w:r>
          </w:p>
        </w:tc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Nama Pejabat</w:t>
            </w:r>
          </w:p>
        </w:tc>
        <w:tc>
          <w:tcPr>
            <w:tcW w:type="dxa" w:w="20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Jabatan Struktural</w:t>
            </w:r>
          </w:p>
        </w:tc>
        <w:tc>
          <w:tcPr>
            <w:tcW w:type="dxa" w:w="15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17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Tanda Tangan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Disusun Oleh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Rian Hidayat, M.Kom., CISSP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Security Officer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  <w:tc>
          <w:tcPr>
            <w:tcW w:type="dxa" w:w="1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Ditinjau Oleh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Anisa Permata, S.E.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Procurement Manager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  <w:tc>
          <w:tcPr>
            <w:tcW w:type="dxa" w:w="1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</w:tr>
      <w:tr>
        <w:trPr>
          <w:cantSplit/>
        </w:trPr>
        <w:tc>
          <w:tcPr>
            <w:tcW w:type="dxa" w:w="18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Disetujui Oleh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Budi Santoso, S.T., MBA</w:t>
            </w:r>
          </w:p>
        </w:tc>
        <w:tc>
          <w:tcPr>
            <w:tcW w:type="dxa" w:w="20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Direktur Utama</w:t>
            </w:r>
          </w:p>
        </w:tc>
        <w:tc>
          <w:tcPr>
            <w:tcW w:type="dxa" w:w="15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28 September 2026</w:t>
            </w:r>
          </w:p>
        </w:tc>
        <w:tc>
          <w:tcPr>
            <w:tcW w:type="dxa" w:w="17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864"/>
                <w:sz w:val="19"/>
              </w:rPr>
              <w:t>[Ditandatangani Digital]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3864"/>
          <w:sz w:val="26"/>
        </w:rPr>
        <w:t>12. Checklist Persiapan Penetration Testing (Pre-Pentest) auditsphere.app</w:t>
      </w:r>
    </w:p>
    <w:p>
      <w:pPr>
        <w:spacing w:before="0" w:after="60" w:line="276" w:lineRule="auto"/>
      </w:pPr>
      <w:r>
        <w:rPr>
          <w:rFonts w:ascii="Calibri" w:hAnsi="Calibri"/>
          <w:i w:val="0"/>
          <w:sz w:val="19"/>
        </w:rPr>
        <w:t>Checklist verifikasi kesiapan teknis sebelum pelaksanaan security testing pada infrastruktur penyedia cloud auditsphere.app: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Domain Pengujian</w:t>
            </w:r>
          </w:p>
        </w:tc>
        <w:tc>
          <w:tcPr>
            <w:tcW w:type="dxa" w:w="4326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Aktivitas Pre-Pentest auditsphere.app</w:t>
            </w:r>
          </w:p>
        </w:tc>
        <w:tc>
          <w:tcPr>
            <w:tcW w:type="dxa" w:w="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900"/>
            <w:shd w:fill="1F3864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Nomor Bukti (Evidence ID)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Legal &amp; RoE (A.5.31)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Penandatanganan NDA formal dan penerbitan Surat Izin Pengetesan (LoA) resmi.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ORG-LoA-202610-CloudPentest-v1.pdf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Legal &amp; RoE (A.8.34)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Penetapan jadwal testing window dan batasan ruang lingkup target domain/API.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ORG-RoE-202610-ScopeAndWindow-v1.pdf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Kordinasi CSP (A.5.23)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Pemberitahuan kepada CSP sesuai kebijakan Penetration Testing Policy vendor.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ORG-CSPNotice-202610-AWSNotice-v1.pdf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Lingkungan Uji (A.8.31)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Penyiapan staging environment terisolasi dari basis data produksi aktif.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TEC-EnvSegregation-202610-Staging-v1.pdf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Whitelisting (A.8.20)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Whitelisting IP Address pengetes pada WAF Cloudflare / AWS WAF.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TEC-NetworkSec-202610-WAFWhitelist-v1.png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Snapshot Backup (A.8.13)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Pelaksanaan Full Snapshot database RDS dan server sebelum uji pentest.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TEC-BackupRestore-202610-PrePentest-v1.log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Sanitasi Data (UU PDP)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Sanitasi dan masking seluruh data pribadi menjadi dummy data.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TEC-DataMasking-202610-TestSanitized-v1.pdf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Logging Audit (A.8.15)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Peningkatan level logging CloudTrail dan pengalihan audit trail ke SIEM.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TEC-Logging-202610-CloudAuditTrail-v1.png</w:t>
            </w:r>
          </w:p>
        </w:tc>
      </w:tr>
      <w:tr>
        <w:trPr>
          <w:cantSplit/>
        </w:trPr>
        <w:tc>
          <w:tcPr>
            <w:tcW w:type="dxa" w:w="1900"/>
            <w:shd w:fill="F2F2F2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Tanggap Darurat (A.5.24)</w:t>
            </w:r>
          </w:p>
        </w:tc>
        <w:tc>
          <w:tcPr>
            <w:tcW w:type="dxa" w:w="4326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Penyusunan kontak darurat (DevOps &amp; Security) serta mekanisme Emergency Stop.</w:t>
            </w:r>
          </w:p>
        </w:tc>
        <w:tc>
          <w:tcPr>
            <w:tcW w:type="dxa" w:w="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sz w:val="17"/>
              </w:rPr>
              <w:t>Siap</w:t>
            </w:r>
          </w:p>
        </w:tc>
        <w:tc>
          <w:tcPr>
            <w:tcW w:type="dxa" w:w="1900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A6A6A6"/>
              <w:bottom w:val="single" w:sz="4" w:space="0" w:color="A6A6A6"/>
              <w:left w:val="single" w:sz="4" w:space="0" w:color="A6A6A6"/>
              <w:right w:val="single" w:sz="4" w:space="0" w:color="A6A6A6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sz w:val="17"/>
              </w:rPr>
              <w:t>ORG-IncidentPrep-202610-EscalationTree-v1.pdf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pgSz w:w="11906" w:h="16838"/>
      <w:pgMar w:top="1300" w:right="1440" w:bottom="13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CPA-001 · Cloud Provider Assessment Framework · v1.0 ·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