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3864"/>
          <w:sz w:val="44"/>
        </w:rPr>
        <w:t>Cloud Security Policy</w:t>
      </w:r>
    </w:p>
    <w:p>
      <w:pPr>
        <w:spacing w:before="0" w:after="280"/>
      </w:pPr>
      <w:r>
        <w:rPr>
          <w:rFonts w:ascii="Calibri" w:hAnsi="Calibri"/>
          <w:b w:val="0"/>
          <w:color w:val="2E5597"/>
          <w:sz w:val="24"/>
        </w:rPr>
        <w:t>AuditSphere® — Kebijakan Tata Kelola Keamanan Komputasi Awan, Proteksi Infrastruktur &amp; Kepatuhan Multi-Cloud</w:t>
      </w:r>
    </w:p>
    <w:p>
      <w:pPr>
        <w:keepNext/>
        <w:spacing w:before="200" w:after="60"/>
      </w:pPr>
      <w:r>
        <w:rPr>
          <w:rFonts w:ascii="Calibri" w:hAnsi="Calibri"/>
          <w:b/>
          <w:color w:val="2E5597"/>
          <w:sz w:val="22"/>
        </w:rPr>
        <w:t>Document Control</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Field</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Nilai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Nomor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CSP-001</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Judul</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Cloud Security Policy and Infrastructure Governance Standard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Versi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1.0</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Tanggal Berlaku</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Pemilik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DevOps Lead</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Penulis Dokumen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DevOps Lead &amp; Security Officer</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Penyetujui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 / Top Management</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Klasifikasi</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Internal Rahasia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Kontrol ISO Terkait</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ISO/IEC 27001:2022 (A.5.23, A.8.10, A.8.20–A.8.24, A.8.29, A.8.34), ISO/IEC 27017, ISO/IEC 27018, CSA CCM v4.0, NIST SP 800-144, UU PDP No. 27/2022</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Review Berikutnya</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2027 (Minimal 1 tahun sekali)</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Target Lingkungan</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Seluruh Layanan Multi-Cloud (AWS, GCP, Azure, SaaS Vendors) &amp; Sistem AuditSphere®</w:t>
            </w:r>
          </w:p>
        </w:tc>
      </w:tr>
    </w:tbl>
    <w:p>
      <w:pPr>
        <w:spacing w:before="0" w:after="80"/>
      </w:pPr>
    </w:p>
    <w:p>
      <w:pPr>
        <w:keepNext/>
        <w:spacing w:before="200" w:after="60"/>
      </w:pPr>
      <w:r>
        <w:rPr>
          <w:rFonts w:ascii="Calibri" w:hAnsi="Calibri"/>
          <w:b/>
          <w:color w:val="2E5597"/>
          <w:sz w:val="22"/>
        </w:rPr>
        <w:t>Riwayat Revisi</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Versi</w:t>
            </w:r>
          </w:p>
        </w:tc>
        <w:tc>
          <w:tcPr>
            <w:tcW w:type="dxa" w:w="1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c>
          <w:tcPr>
            <w:tcW w:type="dxa" w:w="2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Penulis</w:t>
            </w:r>
          </w:p>
        </w:tc>
        <w:tc>
          <w:tcPr>
            <w:tcW w:type="dxa" w:w="17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Approver</w:t>
            </w:r>
          </w:p>
        </w:tc>
        <w:tc>
          <w:tcPr>
            <w:tcW w:type="dxa" w:w="2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Perubahan</w:t>
            </w:r>
          </w:p>
        </w:tc>
      </w:tr>
      <w:tr>
        <w:trPr>
          <w:cantSplit/>
        </w:trPr>
        <w:tc>
          <w:tcPr>
            <w:tcW w:type="dxa" w:w="8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1.0</w:t>
            </w:r>
          </w:p>
        </w:tc>
        <w:tc>
          <w:tcPr>
            <w:tcW w:type="dxa" w:w="16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2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 &amp; DevOps Lead</w:t>
            </w:r>
          </w:p>
        </w:tc>
        <w:tc>
          <w:tcPr>
            <w:tcW w:type="dxa" w:w="17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c>
          <w:tcPr>
            <w:tcW w:type="dxa" w:w="2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Rilis awal kebijakan komprehensif keamanan cloud mencakup 18 domain kontrol teknis, FinOps, container, dan manajemen vendor.</w:t>
            </w:r>
          </w:p>
        </w:tc>
      </w:tr>
    </w:tbl>
    <w:p>
      <w:pPr>
        <w:spacing w:before="0" w:after="80"/>
      </w:pPr>
    </w:p>
    <w:p>
      <w:pPr>
        <w:spacing w:before="160" w:after="40"/>
      </w:pPr>
      <w:r>
        <w:rPr>
          <w:rFonts w:ascii="Calibri" w:hAnsi="Calibri"/>
          <w:b/>
          <w:color w:val="1F3864"/>
          <w:sz w:val="26"/>
        </w:rPr>
        <w:t>Daftar Isi</w:t>
      </w:r>
    </w:p>
    <w:p>
      <w:pPr>
        <w:spacing w:before="0" w:after="20"/>
      </w:pPr>
      <w:r>
        <w:rPr>
          <w:rFonts w:ascii="Calibri" w:hAnsi="Calibri"/>
          <w:b/>
          <w:color w:val="1F3864"/>
          <w:sz w:val="19"/>
        </w:rPr>
        <w:t>1. Tujuan</w:t>
      </w:r>
    </w:p>
    <w:p>
      <w:pPr>
        <w:spacing w:before="0" w:after="20"/>
      </w:pPr>
      <w:r>
        <w:rPr>
          <w:rFonts w:ascii="Calibri" w:hAnsi="Calibri"/>
          <w:b/>
          <w:color w:val="1F3864"/>
          <w:sz w:val="19"/>
        </w:rPr>
        <w:t>2. Ruang Lingkup</w:t>
      </w:r>
    </w:p>
    <w:p>
      <w:pPr>
        <w:spacing w:before="0" w:after="20"/>
      </w:pPr>
      <w:r>
        <w:rPr>
          <w:rFonts w:ascii="Calibri" w:hAnsi="Calibri"/>
          <w:b/>
          <w:color w:val="1F3864"/>
          <w:sz w:val="19"/>
        </w:rPr>
        <w:t>3. Referensi Standar &amp; Regulasi</w:t>
      </w:r>
    </w:p>
    <w:p>
      <w:pPr>
        <w:spacing w:before="0" w:after="20"/>
      </w:pPr>
      <w:r>
        <w:rPr>
          <w:rFonts w:ascii="Calibri" w:hAnsi="Calibri"/>
          <w:b/>
          <w:color w:val="1F3864"/>
          <w:sz w:val="19"/>
        </w:rPr>
        <w:t>4. Definisi &amp; Terminologi</w:t>
      </w:r>
    </w:p>
    <w:p>
      <w:pPr>
        <w:spacing w:before="0" w:after="20"/>
      </w:pPr>
      <w:r>
        <w:rPr>
          <w:rFonts w:ascii="Calibri" w:hAnsi="Calibri"/>
          <w:b/>
          <w:color w:val="1F3864"/>
          <w:sz w:val="19"/>
        </w:rPr>
        <w:t>5. Prinsip Dasar Tata Kelola Keamanan Cloud</w:t>
      </w:r>
    </w:p>
    <w:p>
      <w:pPr>
        <w:spacing w:before="0" w:after="20"/>
      </w:pPr>
      <w:r>
        <w:rPr>
          <w:rFonts w:ascii="Calibri" w:hAnsi="Calibri"/>
          <w:b/>
          <w:color w:val="1F3864"/>
          <w:sz w:val="19"/>
        </w:rPr>
        <w:t>6. Klasifikasi Layanan Cloud &amp; Manajemen Risiko</w:t>
      </w:r>
    </w:p>
    <w:p>
      <w:pPr>
        <w:spacing w:before="0" w:after="20"/>
      </w:pPr>
      <w:r>
        <w:rPr>
          <w:rFonts w:ascii="Calibri" w:hAnsi="Calibri"/>
          <w:b/>
          <w:color w:val="1F3864"/>
          <w:sz w:val="19"/>
        </w:rPr>
        <w:t>7. Kriteria Seleksi &amp; Pengadaan Penyedia Cloud</w:t>
      </w:r>
    </w:p>
    <w:p>
      <w:pPr>
        <w:spacing w:before="0" w:after="20"/>
      </w:pPr>
      <w:r>
        <w:rPr>
          <w:rFonts w:ascii="Calibri" w:hAnsi="Calibri"/>
          <w:b/>
          <w:color w:val="1F3864"/>
          <w:sz w:val="19"/>
        </w:rPr>
        <w:t>8. Penerapan Shared Responsibility Model</w:t>
      </w:r>
    </w:p>
    <w:p>
      <w:pPr>
        <w:spacing w:before="0" w:after="20"/>
      </w:pPr>
      <w:r>
        <w:rPr>
          <w:rFonts w:ascii="Calibri" w:hAnsi="Calibri"/>
          <w:b/>
          <w:color w:val="1F3864"/>
          <w:sz w:val="19"/>
        </w:rPr>
        <w:t>9. Kebijakan Proteksi Data &amp; Kriptografi Cloud</w:t>
      </w:r>
    </w:p>
    <w:p>
      <w:pPr>
        <w:spacing w:before="0" w:after="20"/>
      </w:pPr>
      <w:r>
        <w:rPr>
          <w:rFonts w:ascii="Calibri" w:hAnsi="Calibri"/>
          <w:b/>
          <w:color w:val="1F3864"/>
          <w:sz w:val="19"/>
        </w:rPr>
        <w:t>10. Manajemen Identitas &amp; Akses (IAM &amp; MFA)</w:t>
      </w:r>
    </w:p>
    <w:p>
      <w:pPr>
        <w:spacing w:before="0" w:after="20"/>
      </w:pPr>
      <w:r>
        <w:rPr>
          <w:rFonts w:ascii="Calibri" w:hAnsi="Calibri"/>
          <w:b/>
          <w:color w:val="1F3864"/>
          <w:sz w:val="19"/>
        </w:rPr>
        <w:t>11. Keamanan Jaringan Cloud, VPC &amp; Segmentasi</w:t>
      </w:r>
    </w:p>
    <w:p>
      <w:pPr>
        <w:spacing w:before="0" w:after="20"/>
      </w:pPr>
      <w:r>
        <w:rPr>
          <w:rFonts w:ascii="Calibri" w:hAnsi="Calibri"/>
          <w:b/>
          <w:color w:val="1F3864"/>
          <w:sz w:val="19"/>
        </w:rPr>
        <w:t>12. Audit Logging, Monitoring &amp; Integrasi SIEM</w:t>
      </w:r>
    </w:p>
    <w:p>
      <w:pPr>
        <w:spacing w:before="0" w:after="20"/>
      </w:pPr>
      <w:r>
        <w:rPr>
          <w:rFonts w:ascii="Calibri" w:hAnsi="Calibri"/>
          <w:b/>
          <w:color w:val="1F3864"/>
          <w:sz w:val="19"/>
        </w:rPr>
        <w:t>13. Manajemen Konfigurasi &amp; Infrastructure as Code (IaC)</w:t>
      </w:r>
    </w:p>
    <w:p>
      <w:pPr>
        <w:spacing w:before="0" w:after="20"/>
      </w:pPr>
      <w:r>
        <w:rPr>
          <w:rFonts w:ascii="Calibri" w:hAnsi="Calibri"/>
          <w:b/>
          <w:color w:val="1F3864"/>
          <w:sz w:val="19"/>
        </w:rPr>
        <w:t>14. Manajemen Kerentanan &amp; Patching Cloud</w:t>
      </w:r>
    </w:p>
    <w:p>
      <w:pPr>
        <w:spacing w:before="0" w:after="20"/>
      </w:pPr>
      <w:r>
        <w:rPr>
          <w:rFonts w:ascii="Calibri" w:hAnsi="Calibri"/>
          <w:b/>
          <w:color w:val="1F3864"/>
          <w:sz w:val="19"/>
        </w:rPr>
        <w:t>15. Pencadangan Data (Backup) &amp; Disaster Recovery (DR)</w:t>
      </w:r>
    </w:p>
    <w:p>
      <w:pPr>
        <w:spacing w:before="0" w:after="20"/>
      </w:pPr>
      <w:r>
        <w:rPr>
          <w:rFonts w:ascii="Calibri" w:hAnsi="Calibri"/>
          <w:b/>
          <w:color w:val="1F3864"/>
          <w:sz w:val="19"/>
        </w:rPr>
        <w:t>16. Keamanan Kontainer &amp; Orkestrasi Kubernetes</w:t>
      </w:r>
    </w:p>
    <w:p>
      <w:pPr>
        <w:spacing w:before="0" w:after="20"/>
      </w:pPr>
      <w:r>
        <w:rPr>
          <w:rFonts w:ascii="Calibri" w:hAnsi="Calibri"/>
          <w:b/>
          <w:color w:val="1F3864"/>
          <w:sz w:val="19"/>
        </w:rPr>
        <w:t>17. Keamanan Komputasi Serverless &amp; API Gateway</w:t>
      </w:r>
    </w:p>
    <w:p>
      <w:pPr>
        <w:spacing w:before="0" w:after="20"/>
      </w:pPr>
      <w:r>
        <w:rPr>
          <w:rFonts w:ascii="Calibri" w:hAnsi="Calibri"/>
          <w:b/>
          <w:color w:val="1F3864"/>
          <w:sz w:val="19"/>
        </w:rPr>
        <w:t>18. Manajemen Biaya Cloud, Tagihan &amp; FinOps</w:t>
      </w:r>
    </w:p>
    <w:p>
      <w:pPr>
        <w:spacing w:before="0" w:after="20"/>
      </w:pPr>
      <w:r>
        <w:rPr>
          <w:rFonts w:ascii="Calibri" w:hAnsi="Calibri"/>
          <w:b/>
          <w:color w:val="1F3864"/>
          <w:sz w:val="19"/>
        </w:rPr>
        <w:t>19. Manajemen Vendor Cloud &amp; Perjanjian DPA</w:t>
      </w:r>
    </w:p>
    <w:p>
      <w:pPr>
        <w:spacing w:before="0" w:after="20"/>
      </w:pPr>
      <w:r>
        <w:rPr>
          <w:rFonts w:ascii="Calibri" w:hAnsi="Calibri"/>
          <w:b/>
          <w:color w:val="1F3864"/>
          <w:sz w:val="19"/>
        </w:rPr>
        <w:t>20. Manajemen Insiden Keamanan di Lingkungan Cloud</w:t>
      </w:r>
    </w:p>
    <w:p>
      <w:pPr>
        <w:spacing w:before="0" w:after="20"/>
      </w:pPr>
      <w:r>
        <w:rPr>
          <w:rFonts w:ascii="Calibri" w:hAnsi="Calibri"/>
          <w:b/>
          <w:color w:val="1F3864"/>
          <w:sz w:val="19"/>
        </w:rPr>
        <w:t>21. Peran, Tanggung Jawab &amp; Sanksi Kepatuhan</w:t>
      </w:r>
    </w:p>
    <w:p>
      <w:pPr>
        <w:spacing w:before="0" w:after="20"/>
      </w:pPr>
      <w:r>
        <w:rPr>
          <w:rFonts w:ascii="Calibri" w:hAnsi="Calibri"/>
          <w:b/>
          <w:color w:val="1F3864"/>
          <w:sz w:val="19"/>
        </w:rPr>
        <w:t>22. Lembar Pengesahan &amp; Tanda Tangan Resmi</w:t>
      </w:r>
    </w:p>
    <w:p>
      <w:pPr>
        <w:spacing w:before="0" w:after="20"/>
      </w:pPr>
      <w:r>
        <w:rPr>
          <w:rFonts w:ascii="Calibri" w:hAnsi="Calibri"/>
          <w:b/>
          <w:color w:val="1F3864"/>
          <w:sz w:val="19"/>
        </w:rPr>
        <w:t>23. Checklist Persiapan Penetration Testing (Pre-Pentest) auditsphere.app</w:t>
      </w:r>
    </w:p>
    <w:p>
      <w:pPr>
        <w:keepNext/>
        <w:spacing w:before="280" w:after="80"/>
      </w:pPr>
      <w:r>
        <w:rPr>
          <w:rFonts w:ascii="Calibri" w:hAnsi="Calibri"/>
          <w:b/>
          <w:color w:val="1F3864"/>
          <w:sz w:val="26"/>
        </w:rPr>
        <w:t>1. Tujuan</w:t>
      </w:r>
    </w:p>
    <w:p>
      <w:pPr>
        <w:spacing w:before="0" w:after="60" w:line="276" w:lineRule="auto"/>
      </w:pPr>
      <w:r>
        <w:rPr>
          <w:rFonts w:ascii="Calibri" w:hAnsi="Calibri"/>
          <w:i w:val="0"/>
          <w:sz w:val="19"/>
        </w:rPr>
        <w:t>Kebijakan ini menetapkan pedoman tata kelola dan kontrol operasional penggunaan layanan komputasi awan (Cloud Services) di PT Bina Audita Indonesia untuk menjamin keamanan informasi, kepatuhan hukum, dan efisiensi pemanfaatan sumber daya teknologi.</w:t>
      </w:r>
    </w:p>
    <w:p>
      <w:pPr>
        <w:spacing w:before="0" w:after="60" w:line="276" w:lineRule="auto"/>
      </w:pPr>
      <w:r>
        <w:rPr>
          <w:rFonts w:ascii="Calibri" w:hAnsi="Calibri"/>
          <w:i w:val="0"/>
          <w:sz w:val="19"/>
        </w:rPr>
        <w:t>Tujuan utama kebijakan ini meliputi:</w:t>
      </w:r>
    </w:p>
    <w:p>
      <w:pPr>
        <w:pStyle w:val="ListBullet"/>
        <w:spacing w:before="0" w:after="40" w:line="276" w:lineRule="auto"/>
      </w:pPr>
      <w:r>
        <w:rPr>
          <w:rFonts w:ascii="Calibri" w:hAnsi="Calibri"/>
          <w:b/>
          <w:sz w:val="19"/>
        </w:rPr>
        <w:t xml:space="preserve">1. Proteksi Aset: </w:t>
      </w:r>
      <w:r>
        <w:rPr>
          <w:rFonts w:ascii="Calibri" w:hAnsi="Calibri"/>
          <w:sz w:val="19"/>
        </w:rPr>
        <w:t>Melindungi aset informasi, data klien audit, dan kode sumber aplikasi di seluruh lingkungan cloud.</w:t>
      </w:r>
    </w:p>
    <w:p>
      <w:pPr>
        <w:pStyle w:val="ListBullet"/>
        <w:spacing w:before="0" w:after="40" w:line="276" w:lineRule="auto"/>
      </w:pPr>
      <w:r>
        <w:rPr>
          <w:rFonts w:ascii="Calibri" w:hAnsi="Calibri"/>
          <w:b/>
          <w:sz w:val="19"/>
        </w:rPr>
        <w:t xml:space="preserve">2. Kepatuhan ISO: </w:t>
      </w:r>
      <w:r>
        <w:rPr>
          <w:rFonts w:ascii="Calibri" w:hAnsi="Calibri"/>
          <w:sz w:val="19"/>
        </w:rPr>
        <w:t>Memenuhi persyaratan sertifikasi ISO/IEC 27001:2022 khususnya kontrol Annex A.5.23 dan ISO/IEC 27017.</w:t>
      </w:r>
    </w:p>
    <w:p>
      <w:pPr>
        <w:pStyle w:val="ListBullet"/>
        <w:spacing w:before="0" w:after="40" w:line="276" w:lineRule="auto"/>
      </w:pPr>
      <w:r>
        <w:rPr>
          <w:rFonts w:ascii="Calibri" w:hAnsi="Calibri"/>
          <w:b/>
          <w:sz w:val="19"/>
        </w:rPr>
        <w:t xml:space="preserve">3. Kepatuhan Privasi: </w:t>
      </w:r>
      <w:r>
        <w:rPr>
          <w:rFonts w:ascii="Calibri" w:hAnsi="Calibri"/>
          <w:sz w:val="19"/>
        </w:rPr>
        <w:t>Memastikan kepatuhan terhadap regulasi privasi data nasional (UU PDP No. 27/2022).</w:t>
      </w:r>
    </w:p>
    <w:p>
      <w:pPr>
        <w:pStyle w:val="ListBullet"/>
        <w:spacing w:before="0" w:after="40" w:line="276" w:lineRule="auto"/>
      </w:pPr>
      <w:r>
        <w:rPr>
          <w:rFonts w:ascii="Calibri" w:hAnsi="Calibri"/>
          <w:b/>
          <w:sz w:val="19"/>
        </w:rPr>
        <w:t xml:space="preserve">4. Pengendalian Risiko: </w:t>
      </w:r>
      <w:r>
        <w:rPr>
          <w:rFonts w:ascii="Calibri" w:hAnsi="Calibri"/>
          <w:sz w:val="19"/>
        </w:rPr>
        <w:t>Mengidentifikasi, memitigasi, dan mengendalikan risiko miskonfigurasi keamanan di lingkungan cloud.</w:t>
      </w:r>
    </w:p>
    <w:p>
      <w:pPr>
        <w:keepNext/>
        <w:spacing w:before="280" w:after="80"/>
      </w:pPr>
      <w:r>
        <w:rPr>
          <w:rFonts w:ascii="Calibri" w:hAnsi="Calibri"/>
          <w:b/>
          <w:color w:val="1F3864"/>
          <w:sz w:val="26"/>
        </w:rPr>
        <w:t>2. Ruang Lingkup</w:t>
      </w:r>
    </w:p>
    <w:p>
      <w:pPr>
        <w:spacing w:before="0" w:after="60" w:line="276" w:lineRule="auto"/>
      </w:pPr>
      <w:r>
        <w:rPr>
          <w:rFonts w:ascii="Calibri" w:hAnsi="Calibri"/>
          <w:i w:val="0"/>
          <w:sz w:val="19"/>
        </w:rPr>
        <w:t>Kebijakan ini mengikat secara hukum bagi seluruh entitas dan sumber daya di lingkungan PT Bina Audita Indonesia:</w:t>
      </w:r>
    </w:p>
    <w:p>
      <w:pPr>
        <w:pStyle w:val="ListBullet"/>
        <w:spacing w:before="0" w:after="40" w:line="276" w:lineRule="auto"/>
      </w:pPr>
      <w:r>
        <w:rPr>
          <w:rFonts w:ascii="Calibri" w:hAnsi="Calibri"/>
          <w:b/>
          <w:sz w:val="19"/>
        </w:rPr>
        <w:t xml:space="preserve">• Model Layanan: </w:t>
      </w:r>
      <w:r>
        <w:rPr>
          <w:rFonts w:ascii="Calibri" w:hAnsi="Calibri"/>
          <w:sz w:val="19"/>
        </w:rPr>
        <w:t>Seluruh model layanan komputasi awan: IaaS, PaaS, dan SaaS.</w:t>
      </w:r>
    </w:p>
    <w:p>
      <w:pPr>
        <w:pStyle w:val="ListBullet"/>
        <w:spacing w:before="0" w:after="40" w:line="276" w:lineRule="auto"/>
      </w:pPr>
      <w:r>
        <w:rPr>
          <w:rFonts w:ascii="Calibri" w:hAnsi="Calibri"/>
          <w:b/>
          <w:sz w:val="19"/>
        </w:rPr>
        <w:t xml:space="preserve">• Penyedia Cloud: </w:t>
      </w:r>
      <w:r>
        <w:rPr>
          <w:rFonts w:ascii="Calibri" w:hAnsi="Calibri"/>
          <w:sz w:val="19"/>
        </w:rPr>
        <w:t>Seluruh penyedia cloud publik: AWS, Google Cloud Platform (GCP), Microsoft Azure, dan penyedia SaaS pihak ketiga.</w:t>
      </w:r>
    </w:p>
    <w:p>
      <w:pPr>
        <w:pStyle w:val="ListBullet"/>
        <w:spacing w:before="0" w:after="40" w:line="276" w:lineRule="auto"/>
      </w:pPr>
      <w:r>
        <w:rPr>
          <w:rFonts w:ascii="Calibri" w:hAnsi="Calibri"/>
          <w:b/>
          <w:sz w:val="19"/>
        </w:rPr>
        <w:t xml:space="preserve">• Tingkatan Deployment: </w:t>
      </w:r>
      <w:r>
        <w:rPr>
          <w:rFonts w:ascii="Calibri" w:hAnsi="Calibri"/>
          <w:sz w:val="19"/>
        </w:rPr>
        <w:t>Seluruh tahapan lingkungan deployment: Development, Testing/QA, Staging, dan Production.</w:t>
      </w:r>
    </w:p>
    <w:p>
      <w:pPr>
        <w:pStyle w:val="ListBullet"/>
        <w:spacing w:before="0" w:after="40" w:line="276" w:lineRule="auto"/>
      </w:pPr>
      <w:r>
        <w:rPr>
          <w:rFonts w:ascii="Calibri" w:hAnsi="Calibri"/>
          <w:b/>
          <w:sz w:val="19"/>
        </w:rPr>
        <w:t xml:space="preserve">• Personel: </w:t>
      </w:r>
      <w:r>
        <w:rPr>
          <w:rFonts w:ascii="Calibri" w:hAnsi="Calibri"/>
          <w:sz w:val="19"/>
        </w:rPr>
        <w:t>Seluruh karyawan, staf rekayasa perangkat lunak, DevOps, konsultan, dan vendor pihak ketiga.</w:t>
      </w:r>
    </w:p>
    <w:p>
      <w:pPr>
        <w:keepNext/>
        <w:spacing w:before="280" w:after="80"/>
      </w:pPr>
      <w:r>
        <w:rPr>
          <w:rFonts w:ascii="Calibri" w:hAnsi="Calibri"/>
          <w:b/>
          <w:color w:val="1F3864"/>
          <w:sz w:val="26"/>
        </w:rPr>
        <w:t>3. Referensi Standar &amp; Regulasi</w:t>
      </w:r>
    </w:p>
    <w:p>
      <w:pPr>
        <w:pStyle w:val="ListBullet"/>
        <w:spacing w:before="0" w:after="40" w:line="276" w:lineRule="auto"/>
      </w:pPr>
      <w:r>
        <w:rPr>
          <w:rFonts w:ascii="Calibri" w:hAnsi="Calibri"/>
          <w:b/>
          <w:sz w:val="19"/>
        </w:rPr>
        <w:t xml:space="preserve">ISO/IEC 27001:2022: </w:t>
      </w:r>
      <w:r>
        <w:rPr>
          <w:rFonts w:ascii="Calibri" w:hAnsi="Calibri"/>
          <w:sz w:val="19"/>
        </w:rPr>
        <w:t>Kontrol A.5.23 (Information security for use of cloud services) dan A.8.20–A.8.24 (Network controls).</w:t>
      </w:r>
    </w:p>
    <w:p>
      <w:pPr>
        <w:pStyle w:val="ListBullet"/>
        <w:spacing w:before="0" w:after="40" w:line="276" w:lineRule="auto"/>
      </w:pPr>
      <w:r>
        <w:rPr>
          <w:rFonts w:ascii="Calibri" w:hAnsi="Calibri"/>
          <w:b/>
          <w:sz w:val="19"/>
        </w:rPr>
        <w:t xml:space="preserve">ISO/IEC 27017:2015: </w:t>
      </w:r>
      <w:r>
        <w:rPr>
          <w:rFonts w:ascii="Calibri" w:hAnsi="Calibri"/>
          <w:sz w:val="19"/>
        </w:rPr>
        <w:t>Code of practice for information security controls based on ISO/IEC 27002 for cloud services.</w:t>
      </w:r>
    </w:p>
    <w:p>
      <w:pPr>
        <w:pStyle w:val="ListBullet"/>
        <w:spacing w:before="0" w:after="40" w:line="276" w:lineRule="auto"/>
      </w:pPr>
      <w:r>
        <w:rPr>
          <w:rFonts w:ascii="Calibri" w:hAnsi="Calibri"/>
          <w:b/>
          <w:sz w:val="19"/>
        </w:rPr>
        <w:t xml:space="preserve">ISO/IEC 27018:2019: </w:t>
      </w:r>
      <w:r>
        <w:rPr>
          <w:rFonts w:ascii="Calibri" w:hAnsi="Calibri"/>
          <w:sz w:val="19"/>
        </w:rPr>
        <w:t>Code of practice for protection of personally identifiable information (PII) in public clouds.</w:t>
      </w:r>
    </w:p>
    <w:p>
      <w:pPr>
        <w:pStyle w:val="ListBullet"/>
        <w:spacing w:before="0" w:after="40" w:line="276" w:lineRule="auto"/>
      </w:pPr>
      <w:r>
        <w:rPr>
          <w:rFonts w:ascii="Calibri" w:hAnsi="Calibri"/>
          <w:b/>
          <w:sz w:val="19"/>
        </w:rPr>
        <w:t xml:space="preserve">CSA CCM v4.0: </w:t>
      </w:r>
      <w:r>
        <w:rPr>
          <w:rFonts w:ascii="Calibri" w:hAnsi="Calibri"/>
          <w:sz w:val="19"/>
        </w:rPr>
        <w:t>Cloud Security Alliance Cloud Controls Matrix (CSA CCM v4.0).</w:t>
      </w:r>
    </w:p>
    <w:p>
      <w:pPr>
        <w:pStyle w:val="ListBullet"/>
        <w:spacing w:before="0" w:after="40" w:line="276" w:lineRule="auto"/>
      </w:pPr>
      <w:r>
        <w:rPr>
          <w:rFonts w:ascii="Calibri" w:hAnsi="Calibri"/>
          <w:b/>
          <w:sz w:val="19"/>
        </w:rPr>
        <w:t xml:space="preserve">NIST SP 800-144: </w:t>
      </w:r>
      <w:r>
        <w:rPr>
          <w:rFonts w:ascii="Calibri" w:hAnsi="Calibri"/>
          <w:sz w:val="19"/>
        </w:rPr>
        <w:t>Guidelines on Security and Privacy in Public Cloud Computing.</w:t>
      </w:r>
    </w:p>
    <w:p>
      <w:pPr>
        <w:pStyle w:val="ListBullet"/>
        <w:spacing w:before="0" w:after="40" w:line="276" w:lineRule="auto"/>
      </w:pPr>
      <w:r>
        <w:rPr>
          <w:rFonts w:ascii="Calibri" w:hAnsi="Calibri"/>
          <w:b/>
          <w:sz w:val="19"/>
        </w:rPr>
        <w:t xml:space="preserve">UU PDP No. 27/2022: </w:t>
      </w:r>
      <w:r>
        <w:rPr>
          <w:rFonts w:ascii="Calibri" w:hAnsi="Calibri"/>
          <w:sz w:val="19"/>
        </w:rPr>
        <w:t>Ketentuan pemrosesan data pribadi dan residensi data di Indonesia.</w:t>
      </w:r>
    </w:p>
    <w:p>
      <w:pPr>
        <w:keepNext/>
        <w:spacing w:before="280" w:after="80"/>
      </w:pPr>
      <w:r>
        <w:rPr>
          <w:rFonts w:ascii="Calibri" w:hAnsi="Calibri"/>
          <w:b/>
          <w:color w:val="1F3864"/>
          <w:sz w:val="26"/>
        </w:rPr>
        <w:t>4. Definisi &amp; Terminologi</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6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Istilah</w:t>
            </w:r>
          </w:p>
        </w:tc>
        <w:tc>
          <w:tcPr>
            <w:tcW w:type="dxa" w:w="64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Definisi Operasional</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Cloud Service Provider (CSP)</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Entitas pihak ketiga yang menyediakan layanan komputasi, penyimpanan, atau aplikasi berbasis jaringan awan (contoh: AWS, GCP, Azure).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Infrastructure as a Service (IaaS)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penyediaan infrastruktur komputasi dasar seperti VM, storage, dan perangkat jaringan.</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Platform as a Service (PaaS)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platform pengembangan dan runtime terkelola tanpa perlu mengelola infrastruktur VM (contoh: RDS, GKE, Cloud Functions).</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Software as a Service (SaaS)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aplikasi terkelola penuh yang diakses melalui internet (contoh: AuditSphere® SaaS, Google Workspace).</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Residency</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Persyaratan hukum yang mewajibkan data digital disimpan dan diproses di dalam batas geografis negara tertentu (Indonesia).</w:t>
            </w:r>
          </w:p>
        </w:tc>
      </w:tr>
      <w:tr>
        <w:trPr>
          <w:cantSplit/>
        </w:trPr>
        <w:tc>
          <w:tcPr>
            <w:tcW w:type="dxa" w:w="26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FinOps</w:t>
            </w:r>
          </w:p>
        </w:tc>
        <w:tc>
          <w:tcPr>
            <w:tcW w:type="dxa" w:w="64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Praktik tata kelola keuangan cloud yang menggabungkan kolaborasi antara tim rekayasa, keuangan, dan bisnis.</w:t>
            </w:r>
          </w:p>
        </w:tc>
      </w:tr>
    </w:tbl>
    <w:p>
      <w:pPr>
        <w:spacing w:before="0" w:after="80"/>
      </w:pPr>
    </w:p>
    <w:p>
      <w:pPr>
        <w:keepNext/>
        <w:spacing w:before="280" w:after="80"/>
      </w:pPr>
      <w:r>
        <w:rPr>
          <w:rFonts w:ascii="Calibri" w:hAnsi="Calibri"/>
          <w:b/>
          <w:color w:val="1F3864"/>
          <w:sz w:val="26"/>
        </w:rPr>
        <w:t>5. Prinsip Dasar Tata Kelola Keamanan Cloud</w:t>
      </w:r>
    </w:p>
    <w:p>
      <w:pPr>
        <w:pStyle w:val="ListBullet"/>
        <w:spacing w:before="0" w:after="40" w:line="276" w:lineRule="auto"/>
      </w:pPr>
      <w:r>
        <w:rPr>
          <w:rFonts w:ascii="Calibri" w:hAnsi="Calibri"/>
          <w:b/>
          <w:sz w:val="19"/>
        </w:rPr>
        <w:t xml:space="preserve">1. Cloud-First Architecture: </w:t>
      </w:r>
      <w:r>
        <w:rPr>
          <w:rFonts w:ascii="Calibri" w:hAnsi="Calibri"/>
          <w:sz w:val="19"/>
        </w:rPr>
        <w:t>Infrastruktur cloud menjadi pilihan prioritas pertama untuk fleksibilitas dan skalabilitas.</w:t>
      </w:r>
    </w:p>
    <w:p>
      <w:pPr>
        <w:pStyle w:val="ListBullet"/>
        <w:spacing w:before="0" w:after="40" w:line="276" w:lineRule="auto"/>
      </w:pPr>
      <w:r>
        <w:rPr>
          <w:rFonts w:ascii="Calibri" w:hAnsi="Calibri"/>
          <w:b/>
          <w:sz w:val="19"/>
        </w:rPr>
        <w:t xml:space="preserve">2. Security by Design: </w:t>
      </w:r>
      <w:r>
        <w:rPr>
          <w:rFonts w:ascii="Calibri" w:hAnsi="Calibri"/>
          <w:sz w:val="19"/>
        </w:rPr>
        <w:t>Keamanan dan kepatuhan dirancang sejak tahap perencanaan arsitektur, bukan sebagai pemikiran akhir.</w:t>
      </w:r>
    </w:p>
    <w:p>
      <w:pPr>
        <w:pStyle w:val="ListBullet"/>
        <w:spacing w:before="0" w:after="40" w:line="276" w:lineRule="auto"/>
      </w:pPr>
      <w:r>
        <w:rPr>
          <w:rFonts w:ascii="Calibri" w:hAnsi="Calibri"/>
          <w:b/>
          <w:sz w:val="19"/>
        </w:rPr>
        <w:t xml:space="preserve">3. Shared Responsibility: </w:t>
      </w:r>
      <w:r>
        <w:rPr>
          <w:rFonts w:ascii="Calibri" w:hAnsi="Calibri"/>
          <w:sz w:val="19"/>
        </w:rPr>
        <w:t>Batas tanggung jawab antara CSP dan PT Bina Audita Indonesia didefinisikan secara tegas.</w:t>
      </w:r>
    </w:p>
    <w:p>
      <w:pPr>
        <w:pStyle w:val="ListBullet"/>
        <w:spacing w:before="0" w:after="40" w:line="276" w:lineRule="auto"/>
      </w:pPr>
      <w:r>
        <w:rPr>
          <w:rFonts w:ascii="Calibri" w:hAnsi="Calibri"/>
          <w:b/>
          <w:sz w:val="19"/>
        </w:rPr>
        <w:t xml:space="preserve">4. Prinsip Least Privilege: </w:t>
      </w:r>
      <w:r>
        <w:rPr>
          <w:rFonts w:ascii="Calibri" w:hAnsi="Calibri"/>
          <w:sz w:val="19"/>
        </w:rPr>
        <w:t>Hak akses pengguna dan sistem diberikan secara minimal sesuai kebutuhan tugas operasional (Least Privilege).</w:t>
      </w:r>
    </w:p>
    <w:p>
      <w:pPr>
        <w:pStyle w:val="ListBullet"/>
        <w:spacing w:before="0" w:after="40" w:line="276" w:lineRule="auto"/>
      </w:pPr>
      <w:r>
        <w:rPr>
          <w:rFonts w:ascii="Calibri" w:hAnsi="Calibri"/>
          <w:b/>
          <w:sz w:val="19"/>
        </w:rPr>
        <w:t xml:space="preserve">5. Encryption Everywhere: </w:t>
      </w:r>
      <w:r>
        <w:rPr>
          <w:rFonts w:ascii="Calibri" w:hAnsi="Calibri"/>
          <w:sz w:val="19"/>
        </w:rPr>
        <w:t>Seluruh data wajib dienkripsi saat transit (TLS 1.3) dan saat tersimpan di storage (AES-256).</w:t>
      </w:r>
    </w:p>
    <w:p>
      <w:pPr>
        <w:pStyle w:val="ListBullet"/>
        <w:spacing w:before="0" w:after="40" w:line="276" w:lineRule="auto"/>
      </w:pPr>
      <w:r>
        <w:rPr>
          <w:rFonts w:ascii="Calibri" w:hAnsi="Calibri"/>
          <w:b/>
          <w:sz w:val="19"/>
        </w:rPr>
        <w:t xml:space="preserve">6. Vendor-Agnostic Design: </w:t>
      </w:r>
      <w:r>
        <w:rPr>
          <w:rFonts w:ascii="Calibri" w:hAnsi="Calibri"/>
          <w:sz w:val="19"/>
        </w:rPr>
        <w:t>Sistem dirancang mandiri menggunakan teknologi standar terbuka (container/Kubernetes) untuk mencegah lock-in.</w:t>
      </w:r>
    </w:p>
    <w:p>
      <w:pPr>
        <w:pStyle w:val="ListBullet"/>
        <w:spacing w:before="0" w:after="40" w:line="276" w:lineRule="auto"/>
      </w:pPr>
      <w:r>
        <w:rPr>
          <w:rFonts w:ascii="Calibri" w:hAnsi="Calibri"/>
          <w:b/>
          <w:sz w:val="19"/>
        </w:rPr>
        <w:t xml:space="preserve">7. Zero Trust Cloud: </w:t>
      </w:r>
      <w:r>
        <w:rPr>
          <w:rFonts w:ascii="Calibri" w:hAnsi="Calibri"/>
          <w:sz w:val="19"/>
        </w:rPr>
        <w:t>Tidak ada entitas yang dipercaya secara implisit; verifikasi identitas dilakukan berkelanjutan.</w:t>
      </w:r>
    </w:p>
    <w:p>
      <w:pPr>
        <w:keepNext/>
        <w:spacing w:before="280" w:after="80"/>
      </w:pPr>
      <w:r>
        <w:rPr>
          <w:rFonts w:ascii="Calibri" w:hAnsi="Calibri"/>
          <w:b/>
          <w:color w:val="1F3864"/>
          <w:sz w:val="26"/>
        </w:rPr>
        <w:t>6. Klasifikasi Layanan Cloud &amp; Manajemen Risiko</w:t>
      </w:r>
    </w:p>
    <w:p>
      <w:pPr>
        <w:spacing w:before="0" w:after="60" w:line="276" w:lineRule="auto"/>
      </w:pPr>
      <w:r>
        <w:rPr>
          <w:rFonts w:ascii="Calibri" w:hAnsi="Calibri"/>
          <w:i w:val="0"/>
          <w:sz w:val="19"/>
        </w:rPr>
        <w:t>Seluruh layanan cloud yang digunakan dikelompokkan ke dalam 4 kategori berdasarkan tingkat kekritisan data dan dampak bisnis:</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Tingkat Risiko</w:t>
            </w:r>
          </w:p>
        </w:tc>
        <w:tc>
          <w:tcPr>
            <w:tcW w:type="dxa" w:w="32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Karakteristik &amp; Dampak Bisnis</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Contoh Layanan</w:t>
            </w:r>
          </w:p>
        </w:tc>
        <w:tc>
          <w:tcPr>
            <w:tcW w:type="dxa" w:w="19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Kontrol Wajib</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Kritikal (Critical Tier)</w:t>
            </w:r>
          </w:p>
        </w:tc>
        <w:tc>
          <w:tcPr>
            <w:tcW w:type="dxa" w:w="3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Menyimpan data master audit klien, database produksi, credential vault.</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AWS Production (EKS, RDS, S3), Vault</w:t>
            </w:r>
          </w:p>
        </w:tc>
        <w:tc>
          <w:tcPr>
            <w:tcW w:type="dxa" w:w="1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Multi-AZ, DPA ditandatangani, Enkripsi KMS, SOC 2, Audit kuartalan.</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Tinggi (High Tier)</w:t>
            </w:r>
          </w:p>
        </w:tc>
        <w:tc>
          <w:tcPr>
            <w:tcW w:type="dxa" w:w="3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Menyimpan source code, CI/CD pipeline, analisis AI, audit log.</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GitHub Enterprise, GCP Vertex AI, Datadog</w:t>
            </w:r>
          </w:p>
        </w:tc>
        <w:tc>
          <w:tcPr>
            <w:tcW w:type="dxa" w:w="1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Enforced SSO/MFA, enkripsi TLS 1.3, branch protection, audit semester.</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Sedang (Medium Tier)</w:t>
            </w:r>
          </w:p>
        </w:tc>
        <w:tc>
          <w:tcPr>
            <w:tcW w:type="dxa" w:w="3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koordinasi kerja, ticketing operasional, monitoring tim.</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Jira Cloud, Slack Enterprise, Google Workspace</w:t>
            </w:r>
          </w:p>
        </w:tc>
        <w:tc>
          <w:tcPr>
            <w:tcW w:type="dxa" w:w="1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Enforced SSO/MFA, review akses tahunan, DPA standar.</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Rendah (Low Tier)</w:t>
            </w:r>
          </w:p>
        </w:tc>
        <w:tc>
          <w:tcPr>
            <w:tcW w:type="dxa" w:w="32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Layanan pemasaran publik, pengiriman newsletter informasi umum.</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Mailchimp, Web Analytics publik</w:t>
            </w:r>
          </w:p>
        </w:tc>
        <w:tc>
          <w:tcPr>
            <w:tcW w:type="dxa" w:w="19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Pemisahan jaringan, dilarang menyimpan data PII klien.</w:t>
            </w:r>
          </w:p>
        </w:tc>
      </w:tr>
    </w:tbl>
    <w:p>
      <w:pPr>
        <w:spacing w:before="0" w:after="80"/>
      </w:pPr>
    </w:p>
    <w:p>
      <w:pPr>
        <w:keepNext/>
        <w:spacing w:before="280" w:after="80"/>
      </w:pPr>
      <w:r>
        <w:rPr>
          <w:rFonts w:ascii="Calibri" w:hAnsi="Calibri"/>
          <w:b/>
          <w:color w:val="1F3864"/>
          <w:sz w:val="26"/>
        </w:rPr>
        <w:t>7. Kriteria Seleksi &amp; Pengadaan Penyedia Cloud</w:t>
      </w:r>
    </w:p>
    <w:p>
      <w:pPr>
        <w:spacing w:before="0" w:after="60" w:line="276" w:lineRule="auto"/>
      </w:pPr>
      <w:r>
        <w:rPr>
          <w:rFonts w:ascii="Calibri" w:hAnsi="Calibri"/>
          <w:i w:val="0"/>
          <w:sz w:val="19"/>
        </w:rPr>
        <w:t>Penyedia cloud baru wajib dievaluasi menggunakan instrumen CPA-001 dan memenuhi kriteria dasar berikut:</w:t>
      </w:r>
    </w:p>
    <w:p>
      <w:pPr>
        <w:pStyle w:val="ListBullet"/>
        <w:spacing w:before="0" w:after="40" w:line="276" w:lineRule="auto"/>
      </w:pPr>
      <w:r>
        <w:rPr>
          <w:rFonts w:ascii="Calibri" w:hAnsi="Calibri"/>
          <w:b/>
          <w:sz w:val="19"/>
        </w:rPr>
        <w:t xml:space="preserve">• Sertifikasi Kepatuhan: </w:t>
      </w:r>
      <w:r>
        <w:rPr>
          <w:rFonts w:ascii="Calibri" w:hAnsi="Calibri"/>
          <w:sz w:val="19"/>
        </w:rPr>
        <w:t>Memiliki sertifikasi ISO/IEC 27001, ISO/IEC 27017, ISO/IEC 27018, dan SOC 2 Type II yang masih aktif.</w:t>
      </w:r>
    </w:p>
    <w:p>
      <w:pPr>
        <w:pStyle w:val="ListBullet"/>
        <w:spacing w:before="0" w:after="40" w:line="276" w:lineRule="auto"/>
      </w:pPr>
      <w:r>
        <w:rPr>
          <w:rFonts w:ascii="Calibri" w:hAnsi="Calibri"/>
          <w:b/>
          <w:sz w:val="19"/>
        </w:rPr>
        <w:t xml:space="preserve">• Data Residency: </w:t>
      </w:r>
      <w:r>
        <w:rPr>
          <w:rFonts w:ascii="Calibri" w:hAnsi="Calibri"/>
          <w:sz w:val="19"/>
        </w:rPr>
        <w:t>Menyediakan pusat data fisik di wilayah Indonesia (Region Jakarta) untuk kepatuhan residensi data UU PDP.</w:t>
      </w:r>
    </w:p>
    <w:p>
      <w:pPr>
        <w:pStyle w:val="ListBullet"/>
        <w:spacing w:before="0" w:after="40" w:line="276" w:lineRule="auto"/>
      </w:pPr>
      <w:r>
        <w:rPr>
          <w:rFonts w:ascii="Calibri" w:hAnsi="Calibri"/>
          <w:b/>
          <w:sz w:val="19"/>
        </w:rPr>
        <w:t xml:space="preserve">• Standar Kriptografi: </w:t>
      </w:r>
      <w:r>
        <w:rPr>
          <w:rFonts w:ascii="Calibri" w:hAnsi="Calibri"/>
          <w:sz w:val="19"/>
        </w:rPr>
        <w:t>Mendukung enkripsi at-rest (AES-256) dan in-transit (TLS 1.3) serta Customer Managed Keys (CMK).</w:t>
      </w:r>
    </w:p>
    <w:p>
      <w:pPr>
        <w:pStyle w:val="ListBullet"/>
        <w:spacing w:before="0" w:after="40" w:line="276" w:lineRule="auto"/>
      </w:pPr>
      <w:r>
        <w:rPr>
          <w:rFonts w:ascii="Calibri" w:hAnsi="Calibri"/>
          <w:b/>
          <w:sz w:val="19"/>
        </w:rPr>
        <w:t xml:space="preserve">• SLA Ketersediaan: </w:t>
      </w:r>
      <w:r>
        <w:rPr>
          <w:rFonts w:ascii="Calibri" w:hAnsi="Calibri"/>
          <w:sz w:val="19"/>
        </w:rPr>
        <w:t>Menjamin komitmen SLA ketersediaan bulanan minimal ≥ 99.9% disertai sanksi pinalti layanan.</w:t>
      </w:r>
    </w:p>
    <w:p>
      <w:pPr>
        <w:pStyle w:val="ListBullet"/>
        <w:spacing w:before="0" w:after="40" w:line="276" w:lineRule="auto"/>
      </w:pPr>
      <w:r>
        <w:rPr>
          <w:rFonts w:ascii="Calibri" w:hAnsi="Calibri"/>
          <w:b/>
          <w:sz w:val="19"/>
        </w:rPr>
        <w:t xml:space="preserve">• Exit Strategy: </w:t>
      </w:r>
      <w:r>
        <w:rPr>
          <w:rFonts w:ascii="Calibri" w:hAnsi="Calibri"/>
          <w:sz w:val="19"/>
        </w:rPr>
        <w:t>Menyediakan sarana ekspor data massal dan bersedia menerbitkan Certificate of Destruction.</w:t>
      </w:r>
    </w:p>
    <w:p>
      <w:pPr>
        <w:keepNext/>
        <w:spacing w:before="280" w:after="80"/>
      </w:pPr>
      <w:r>
        <w:rPr>
          <w:rFonts w:ascii="Calibri" w:hAnsi="Calibri"/>
          <w:b/>
          <w:color w:val="1F3864"/>
          <w:sz w:val="26"/>
        </w:rPr>
        <w:t>8. Penerapan Shared Responsibility Model</w:t>
      </w:r>
    </w:p>
    <w:p>
      <w:pPr>
        <w:spacing w:before="0" w:after="60" w:line="276" w:lineRule="auto"/>
      </w:pPr>
      <w:r>
        <w:rPr>
          <w:rFonts w:ascii="Calibri" w:hAnsi="Calibri"/>
          <w:i w:val="0"/>
          <w:sz w:val="19"/>
        </w:rPr>
        <w:t>PT Bina Audita Indonesia menerapkan model tanggung jawab bersama sesuai dokumen CSRM-001:</w:t>
      </w:r>
    </w:p>
    <w:p>
      <w:pPr>
        <w:pStyle w:val="ListBullet"/>
        <w:spacing w:before="0" w:after="40" w:line="276" w:lineRule="auto"/>
      </w:pPr>
      <w:r>
        <w:rPr>
          <w:rFonts w:ascii="Calibri" w:hAnsi="Calibri"/>
          <w:b/>
          <w:sz w:val="19"/>
        </w:rPr>
        <w:t xml:space="preserve">• Tanggung Jawab CSP: </w:t>
      </w:r>
      <w:r>
        <w:rPr>
          <w:rFonts w:ascii="Calibri" w:hAnsi="Calibri"/>
          <w:sz w:val="19"/>
        </w:rPr>
        <w:t>Keamanan fisik pusat data, perangkat keras server, kabel jaringan, dan fasilitas hypervisor adalah tanggung jawab penuh CSP.</w:t>
      </w:r>
    </w:p>
    <w:p>
      <w:pPr>
        <w:pStyle w:val="ListBullet"/>
        <w:spacing w:before="0" w:after="40" w:line="276" w:lineRule="auto"/>
      </w:pPr>
      <w:r>
        <w:rPr>
          <w:rFonts w:ascii="Calibri" w:hAnsi="Calibri"/>
          <w:b/>
          <w:sz w:val="19"/>
        </w:rPr>
        <w:t xml:space="preserve">• Tanggung Jawab Perusahaan: </w:t>
      </w:r>
      <w:r>
        <w:rPr>
          <w:rFonts w:ascii="Calibri" w:hAnsi="Calibri"/>
          <w:sz w:val="19"/>
        </w:rPr>
        <w:t>Konfigurasi sistem operasi VM, container runtime, kode aplikasi, enkripsi data, manajemen hak akses IAM, dan pencadangan data adalah tanggung jawab penuh PT Bina Audita Indonesia.</w:t>
      </w:r>
    </w:p>
    <w:p>
      <w:pPr>
        <w:keepNext/>
        <w:spacing w:before="280" w:after="80"/>
      </w:pPr>
      <w:r>
        <w:rPr>
          <w:rFonts w:ascii="Calibri" w:hAnsi="Calibri"/>
          <w:b/>
          <w:color w:val="1F3864"/>
          <w:sz w:val="26"/>
        </w:rPr>
        <w:t>9. Kebijakan Proteksi Data &amp; Kriptografi Cloud</w:t>
      </w:r>
    </w:p>
    <w:p>
      <w:pPr>
        <w:pStyle w:val="ListBullet"/>
        <w:spacing w:before="0" w:after="40" w:line="276" w:lineRule="auto"/>
      </w:pPr>
      <w:r>
        <w:rPr>
          <w:rFonts w:ascii="Calibri" w:hAnsi="Calibri"/>
          <w:b/>
          <w:sz w:val="19"/>
        </w:rPr>
        <w:t xml:space="preserve">1. Klasifikasi Data: </w:t>
      </w:r>
      <w:r>
        <w:rPr>
          <w:rFonts w:ascii="Calibri" w:hAnsi="Calibri"/>
          <w:sz w:val="19"/>
        </w:rPr>
        <w:t>Seluruh data diklasifikasikan sesuai dokumen Kebijakan Klasifikasi Data (DCP-001).</w:t>
      </w:r>
    </w:p>
    <w:p>
      <w:pPr>
        <w:pStyle w:val="ListBullet"/>
        <w:spacing w:before="0" w:after="40" w:line="276" w:lineRule="auto"/>
      </w:pPr>
      <w:r>
        <w:rPr>
          <w:rFonts w:ascii="Calibri" w:hAnsi="Calibri"/>
          <w:b/>
          <w:sz w:val="19"/>
        </w:rPr>
        <w:t xml:space="preserve">2. Enkripsi At-Rest: </w:t>
      </w:r>
      <w:r>
        <w:rPr>
          <w:rFonts w:ascii="Calibri" w:hAnsi="Calibri"/>
          <w:sz w:val="19"/>
        </w:rPr>
        <w:t>Wajib mengaktifkan enkripsi AES-256 pada seluruh bucket S3/Cloud Storage, volume EBS/disk, dan database RDS.</w:t>
      </w:r>
    </w:p>
    <w:p>
      <w:pPr>
        <w:pStyle w:val="ListBullet"/>
        <w:spacing w:before="0" w:after="40" w:line="276" w:lineRule="auto"/>
      </w:pPr>
      <w:r>
        <w:rPr>
          <w:rFonts w:ascii="Calibri" w:hAnsi="Calibri"/>
          <w:b/>
          <w:sz w:val="19"/>
        </w:rPr>
        <w:t xml:space="preserve">3. Enkripsi In-Transit: </w:t>
      </w:r>
      <w:r>
        <w:rPr>
          <w:rFonts w:ascii="Calibri" w:hAnsi="Calibri"/>
          <w:sz w:val="19"/>
        </w:rPr>
        <w:t>Komunikasi data wajib menggunakan HTTPS dengan protokol minimal TLS 1.3; cipher lama dilarang.</w:t>
      </w:r>
    </w:p>
    <w:p>
      <w:pPr>
        <w:pStyle w:val="ListBullet"/>
        <w:spacing w:before="0" w:after="40" w:line="276" w:lineRule="auto"/>
      </w:pPr>
      <w:r>
        <w:rPr>
          <w:rFonts w:ascii="Calibri" w:hAnsi="Calibri"/>
          <w:b/>
          <w:sz w:val="19"/>
        </w:rPr>
        <w:t xml:space="preserve">4. Manajemen Kunci: </w:t>
      </w:r>
      <w:r>
        <w:rPr>
          <w:rFonts w:ascii="Calibri" w:hAnsi="Calibri"/>
          <w:sz w:val="19"/>
        </w:rPr>
        <w:t>Kunci enkripsi dikelola melalui Cloud KMS / HSM dengan rotasi kunci otomatis minimal setiap 365 hari.</w:t>
      </w:r>
    </w:p>
    <w:p>
      <w:pPr>
        <w:pStyle w:val="ListBullet"/>
        <w:spacing w:before="0" w:after="40" w:line="276" w:lineRule="auto"/>
      </w:pPr>
      <w:r>
        <w:rPr>
          <w:rFonts w:ascii="Calibri" w:hAnsi="Calibri"/>
          <w:b/>
          <w:sz w:val="19"/>
        </w:rPr>
        <w:t xml:space="preserve">5. Backup Terenkripsi: </w:t>
      </w:r>
      <w:r>
        <w:rPr>
          <w:rFonts w:ascii="Calibri" w:hAnsi="Calibri"/>
          <w:sz w:val="19"/>
        </w:rPr>
        <w:t>Data cadangan disimpan terpisah secara geografis (Cross-Region) dan dilindungi fitur immutable WORM.</w:t>
      </w:r>
    </w:p>
    <w:p>
      <w:pPr>
        <w:keepNext/>
        <w:spacing w:before="280" w:after="80"/>
      </w:pPr>
      <w:r>
        <w:rPr>
          <w:rFonts w:ascii="Calibri" w:hAnsi="Calibri"/>
          <w:b/>
          <w:color w:val="1F3864"/>
          <w:sz w:val="26"/>
        </w:rPr>
        <w:t>10. Manajemen Identitas &amp; Akses (IAM &amp; MFA)</w:t>
      </w:r>
    </w:p>
    <w:p>
      <w:pPr>
        <w:pStyle w:val="ListBullet"/>
        <w:spacing w:before="0" w:after="40" w:line="276" w:lineRule="auto"/>
      </w:pPr>
      <w:r>
        <w:rPr>
          <w:rFonts w:ascii="Calibri" w:hAnsi="Calibri"/>
          <w:b/>
          <w:sz w:val="19"/>
        </w:rPr>
        <w:t xml:space="preserve">1. Enforced SSO: </w:t>
      </w:r>
      <w:r>
        <w:rPr>
          <w:rFonts w:ascii="Calibri" w:hAnsi="Calibri"/>
          <w:sz w:val="19"/>
        </w:rPr>
        <w:t>Seluruh akses konsol cloud wajib terintegrasi dengan Single Sign-On (SSO) perusahaan.</w:t>
      </w:r>
    </w:p>
    <w:p>
      <w:pPr>
        <w:pStyle w:val="ListBullet"/>
        <w:spacing w:before="0" w:after="40" w:line="276" w:lineRule="auto"/>
      </w:pPr>
      <w:r>
        <w:rPr>
          <w:rFonts w:ascii="Calibri" w:hAnsi="Calibri"/>
          <w:b/>
          <w:sz w:val="19"/>
        </w:rPr>
        <w:t xml:space="preserve">2. Mandatory MFA: </w:t>
      </w:r>
      <w:r>
        <w:rPr>
          <w:rFonts w:ascii="Calibri" w:hAnsi="Calibri"/>
          <w:sz w:val="19"/>
        </w:rPr>
        <w:t>Multi-Factor Authentication (MFA) wajib diaktifkan untuk 100% pengguna konsol cloud tanpa pengecualian.</w:t>
      </w:r>
    </w:p>
    <w:p>
      <w:pPr>
        <w:pStyle w:val="ListBullet"/>
        <w:spacing w:before="0" w:after="40" w:line="276" w:lineRule="auto"/>
      </w:pPr>
      <w:r>
        <w:rPr>
          <w:rFonts w:ascii="Calibri" w:hAnsi="Calibri"/>
          <w:b/>
          <w:sz w:val="19"/>
        </w:rPr>
        <w:t xml:space="preserve">3. Least Privilege: </w:t>
      </w:r>
      <w:r>
        <w:rPr>
          <w:rFonts w:ascii="Calibri" w:hAnsi="Calibri"/>
          <w:sz w:val="19"/>
        </w:rPr>
        <w:t>Akses diberikan berdasarkan peran tugas (RBAC) dengan hak istimewa seminimal mungkin.</w:t>
      </w:r>
    </w:p>
    <w:p>
      <w:pPr>
        <w:pStyle w:val="ListBullet"/>
        <w:spacing w:before="0" w:after="40" w:line="276" w:lineRule="auto"/>
      </w:pPr>
      <w:r>
        <w:rPr>
          <w:rFonts w:ascii="Calibri" w:hAnsi="Calibri"/>
          <w:b/>
          <w:sz w:val="19"/>
        </w:rPr>
        <w:t xml:space="preserve">4. Short-Lived Tokens: </w:t>
      </w:r>
      <w:r>
        <w:rPr>
          <w:rFonts w:ascii="Calibri" w:hAnsi="Calibri"/>
          <w:sz w:val="19"/>
        </w:rPr>
        <w:t>Kredensial Service Account / IAM Roles dilarang menggunakan static long-lived API keys; wajib menggunakan temporary security tokens (STS/Workload Identity).</w:t>
      </w:r>
    </w:p>
    <w:p>
      <w:pPr>
        <w:pStyle w:val="ListBullet"/>
        <w:spacing w:before="0" w:after="40" w:line="276" w:lineRule="auto"/>
      </w:pPr>
      <w:r>
        <w:rPr>
          <w:rFonts w:ascii="Calibri" w:hAnsi="Calibri"/>
          <w:b/>
          <w:sz w:val="19"/>
        </w:rPr>
        <w:t xml:space="preserve">5. Emergency Root Account: </w:t>
      </w:r>
      <w:r>
        <w:rPr>
          <w:rFonts w:ascii="Calibri" w:hAnsi="Calibri"/>
          <w:sz w:val="19"/>
        </w:rPr>
        <w:t>Akun root / master cloud account dilarang digunakan untuk operasional harian dan diamankan dalam physical vault untuk kebutuhan darurat (Break-Glass).</w:t>
      </w:r>
    </w:p>
    <w:p>
      <w:pPr>
        <w:pStyle w:val="ListBullet"/>
        <w:spacing w:before="0" w:after="40" w:line="276" w:lineRule="auto"/>
      </w:pPr>
      <w:r>
        <w:rPr>
          <w:rFonts w:ascii="Calibri" w:hAnsi="Calibri"/>
          <w:b/>
          <w:sz w:val="19"/>
        </w:rPr>
        <w:t xml:space="preserve">6. Quarterly Review: </w:t>
      </w:r>
      <w:r>
        <w:rPr>
          <w:rFonts w:ascii="Calibri" w:hAnsi="Calibri"/>
          <w:sz w:val="19"/>
        </w:rPr>
        <w:t>Tinjauan hak akses (Access Review) wajib dilakukan setiap kuartal (3 bulan sekali).</w:t>
      </w:r>
    </w:p>
    <w:p>
      <w:pPr>
        <w:keepNext/>
        <w:spacing w:before="280" w:after="80"/>
      </w:pPr>
      <w:r>
        <w:rPr>
          <w:rFonts w:ascii="Calibri" w:hAnsi="Calibri"/>
          <w:b/>
          <w:color w:val="1F3864"/>
          <w:sz w:val="26"/>
        </w:rPr>
        <w:t>11. Keamanan Jaringan Cloud, VPC &amp; Segmentasi</w:t>
      </w:r>
    </w:p>
    <w:p>
      <w:pPr>
        <w:pStyle w:val="ListBullet"/>
        <w:spacing w:before="0" w:after="40" w:line="276" w:lineRule="auto"/>
      </w:pPr>
      <w:r>
        <w:rPr>
          <w:rFonts w:ascii="Calibri" w:hAnsi="Calibri"/>
          <w:b/>
          <w:sz w:val="19"/>
        </w:rPr>
        <w:t xml:space="preserve">1. Isolasi VPC: </w:t>
      </w:r>
      <w:r>
        <w:rPr>
          <w:rFonts w:ascii="Calibri" w:hAnsi="Calibri"/>
          <w:sz w:val="19"/>
        </w:rPr>
        <w:t>Setiap lingkungan (Dev, Staging, Prod) wajib menggunakan Virtual Private Cloud (VPC) terisolasi secara terpisah.</w:t>
      </w:r>
    </w:p>
    <w:p>
      <w:pPr>
        <w:pStyle w:val="ListBullet"/>
        <w:spacing w:before="0" w:after="40" w:line="276" w:lineRule="auto"/>
      </w:pPr>
      <w:r>
        <w:rPr>
          <w:rFonts w:ascii="Calibri" w:hAnsi="Calibri"/>
          <w:b/>
          <w:sz w:val="19"/>
        </w:rPr>
        <w:t xml:space="preserve">2. Private Subnet: </w:t>
      </w:r>
      <w:r>
        <w:rPr>
          <w:rFonts w:ascii="Calibri" w:hAnsi="Calibri"/>
          <w:sz w:val="19"/>
        </w:rPr>
        <w:t>Database dan backend services hanya boleh ditempatkan di private subnet tanpa akses rute publik langsung.</w:t>
      </w:r>
    </w:p>
    <w:p>
      <w:pPr>
        <w:pStyle w:val="ListBullet"/>
        <w:spacing w:before="0" w:after="40" w:line="276" w:lineRule="auto"/>
      </w:pPr>
      <w:r>
        <w:rPr>
          <w:rFonts w:ascii="Calibri" w:hAnsi="Calibri"/>
          <w:b/>
          <w:sz w:val="19"/>
        </w:rPr>
        <w:t xml:space="preserve">3. Default Deny Firewall: </w:t>
      </w:r>
      <w:r>
        <w:rPr>
          <w:rFonts w:ascii="Calibri" w:hAnsi="Calibri"/>
          <w:sz w:val="19"/>
        </w:rPr>
        <w:t>Penerapan Security Group dan Network ACL berbasis prinsip Default Deny All.</w:t>
      </w:r>
    </w:p>
    <w:p>
      <w:pPr>
        <w:pStyle w:val="ListBullet"/>
        <w:spacing w:before="0" w:after="40" w:line="276" w:lineRule="auto"/>
      </w:pPr>
      <w:r>
        <w:rPr>
          <w:rFonts w:ascii="Calibri" w:hAnsi="Calibri"/>
          <w:b/>
          <w:sz w:val="19"/>
        </w:rPr>
        <w:t xml:space="preserve">4. Cloud WAF &amp; DDoS: </w:t>
      </w:r>
      <w:r>
        <w:rPr>
          <w:rFonts w:ascii="Calibri" w:hAnsi="Calibri"/>
          <w:sz w:val="19"/>
        </w:rPr>
        <w:t>Aplikasi publik wajib berada di balik Web Application Firewall (WAF) dengan proteksi serangan OWASP Top 10 dan mitigasi DDoS.</w:t>
      </w:r>
    </w:p>
    <w:p>
      <w:pPr>
        <w:pStyle w:val="ListBullet"/>
        <w:spacing w:before="0" w:after="40" w:line="276" w:lineRule="auto"/>
      </w:pPr>
      <w:r>
        <w:rPr>
          <w:rFonts w:ascii="Calibri" w:hAnsi="Calibri"/>
          <w:b/>
          <w:sz w:val="19"/>
        </w:rPr>
        <w:t xml:space="preserve">5. Secure Administrative Access: </w:t>
      </w:r>
      <w:r>
        <w:rPr>
          <w:rFonts w:ascii="Calibri" w:hAnsi="Calibri"/>
          <w:sz w:val="19"/>
        </w:rPr>
        <w:t>Akses administratif ke jaringan privat hanya diizinkan melalui secure VPN gateway atau PrivateLink.</w:t>
      </w:r>
    </w:p>
    <w:p>
      <w:pPr>
        <w:keepNext/>
        <w:spacing w:before="280" w:after="80"/>
      </w:pPr>
      <w:r>
        <w:rPr>
          <w:rFonts w:ascii="Calibri" w:hAnsi="Calibri"/>
          <w:b/>
          <w:color w:val="1F3864"/>
          <w:sz w:val="26"/>
        </w:rPr>
        <w:t>12. Audit Logging, Monitoring &amp; Integrasi SIEM</w:t>
      </w:r>
    </w:p>
    <w:p>
      <w:pPr>
        <w:pStyle w:val="ListBullet"/>
        <w:spacing w:before="0" w:after="40" w:line="276" w:lineRule="auto"/>
      </w:pPr>
      <w:r>
        <w:rPr>
          <w:rFonts w:ascii="Calibri" w:hAnsi="Calibri"/>
          <w:b/>
          <w:sz w:val="19"/>
        </w:rPr>
        <w:t xml:space="preserve">1. Console Audit Logging: </w:t>
      </w:r>
      <w:r>
        <w:rPr>
          <w:rFonts w:ascii="Calibri" w:hAnsi="Calibri"/>
          <w:sz w:val="19"/>
        </w:rPr>
        <w:t>Pengaktifan audit log komprehensif pada level API konsol (AWS CloudTrail / GCP Cloud Audit Logs / Azure Activity Log).</w:t>
      </w:r>
    </w:p>
    <w:p>
      <w:pPr>
        <w:pStyle w:val="ListBullet"/>
        <w:spacing w:before="0" w:after="40" w:line="276" w:lineRule="auto"/>
      </w:pPr>
      <w:r>
        <w:rPr>
          <w:rFonts w:ascii="Calibri" w:hAnsi="Calibri"/>
          <w:b/>
          <w:sz w:val="19"/>
        </w:rPr>
        <w:t xml:space="preserve">2. VPC Flow Logs: </w:t>
      </w:r>
      <w:r>
        <w:rPr>
          <w:rFonts w:ascii="Calibri" w:hAnsi="Calibri"/>
          <w:sz w:val="19"/>
        </w:rPr>
        <w:t>Pengaktifan VPC Flow Logs untuk pemantauan lalu lintas jaringan IP antar-subnet.</w:t>
      </w:r>
    </w:p>
    <w:p>
      <w:pPr>
        <w:pStyle w:val="ListBullet"/>
        <w:spacing w:before="0" w:after="40" w:line="276" w:lineRule="auto"/>
      </w:pPr>
      <w:r>
        <w:rPr>
          <w:rFonts w:ascii="Calibri" w:hAnsi="Calibri"/>
          <w:b/>
          <w:sz w:val="19"/>
        </w:rPr>
        <w:t xml:space="preserve">3. Centralized SIEM &amp; Retention: </w:t>
      </w:r>
      <w:r>
        <w:rPr>
          <w:rFonts w:ascii="Calibri" w:hAnsi="Calibri"/>
          <w:sz w:val="19"/>
        </w:rPr>
        <w:t>Seluruh log dialirkan secara otomatis ke platform SIEM terpusat dan dipertahankan minimal selama 12 bulan (1 tahun).</w:t>
      </w:r>
    </w:p>
    <w:p>
      <w:pPr>
        <w:pStyle w:val="ListBullet"/>
        <w:spacing w:before="0" w:after="40" w:line="276" w:lineRule="auto"/>
      </w:pPr>
      <w:r>
        <w:rPr>
          <w:rFonts w:ascii="Calibri" w:hAnsi="Calibri"/>
          <w:b/>
          <w:sz w:val="19"/>
        </w:rPr>
        <w:t xml:space="preserve">4. Immutable Log Storage: </w:t>
      </w:r>
      <w:r>
        <w:rPr>
          <w:rFonts w:ascii="Calibri" w:hAnsi="Calibri"/>
          <w:sz w:val="19"/>
        </w:rPr>
        <w:t>Log storage bucket dikonfigurasi dengan mode WORM (Write Once Read Many) untuk mencegah manipulasi atau penghapusan bukti audit.</w:t>
      </w:r>
    </w:p>
    <w:p>
      <w:pPr>
        <w:pStyle w:val="ListBullet"/>
        <w:spacing w:before="0" w:after="40" w:line="276" w:lineRule="auto"/>
      </w:pPr>
      <w:r>
        <w:rPr>
          <w:rFonts w:ascii="Calibri" w:hAnsi="Calibri"/>
          <w:b/>
          <w:sz w:val="19"/>
        </w:rPr>
        <w:t xml:space="preserve">5. Real-Time Alerting: </w:t>
      </w:r>
      <w:r>
        <w:rPr>
          <w:rFonts w:ascii="Calibri" w:hAnsi="Calibri"/>
          <w:sz w:val="19"/>
        </w:rPr>
        <w:t>Pemberitahuan insiden (alerting) otomatis dikirimkan ke tim SOC dalam tempo &lt; 15 menit jika terdeteksi aktivitas anomali.</w:t>
      </w:r>
    </w:p>
    <w:p>
      <w:pPr>
        <w:keepNext/>
        <w:spacing w:before="280" w:after="80"/>
      </w:pPr>
      <w:r>
        <w:rPr>
          <w:rFonts w:ascii="Calibri" w:hAnsi="Calibri"/>
          <w:b/>
          <w:color w:val="1F3864"/>
          <w:sz w:val="26"/>
        </w:rPr>
        <w:t>13. Manajemen Konfigurasi &amp; Infrastructure as Code (IaC)</w:t>
      </w:r>
    </w:p>
    <w:p>
      <w:pPr>
        <w:pStyle w:val="ListBullet"/>
        <w:spacing w:before="0" w:after="40" w:line="276" w:lineRule="auto"/>
      </w:pPr>
      <w:r>
        <w:rPr>
          <w:rFonts w:ascii="Calibri" w:hAnsi="Calibri"/>
          <w:b/>
          <w:sz w:val="19"/>
        </w:rPr>
        <w:t xml:space="preserve">1. IaC Enforcement: </w:t>
      </w:r>
      <w:r>
        <w:rPr>
          <w:rFonts w:ascii="Calibri" w:hAnsi="Calibri"/>
          <w:sz w:val="19"/>
        </w:rPr>
        <w:t>Seluruh penyediaan sumber daya cloud wajib didefinisikan menggunakan Infrastructure as Code (Terraform / Ansible / Helm).</w:t>
      </w:r>
    </w:p>
    <w:p>
      <w:pPr>
        <w:pStyle w:val="ListBullet"/>
        <w:spacing w:before="0" w:after="40" w:line="276" w:lineRule="auto"/>
      </w:pPr>
      <w:r>
        <w:rPr>
          <w:rFonts w:ascii="Calibri" w:hAnsi="Calibri"/>
          <w:b/>
          <w:sz w:val="19"/>
        </w:rPr>
        <w:t xml:space="preserve">2. Version Control: </w:t>
      </w:r>
      <w:r>
        <w:rPr>
          <w:rFonts w:ascii="Calibri" w:hAnsi="Calibri"/>
          <w:sz w:val="19"/>
        </w:rPr>
        <w:t>Skrip IaC wajib disimpan pada Git repositori resmi dengan kontrol versi dan audit trail.</w:t>
      </w:r>
    </w:p>
    <w:p>
      <w:pPr>
        <w:pStyle w:val="ListBullet"/>
        <w:spacing w:before="0" w:after="40" w:line="276" w:lineRule="auto"/>
      </w:pPr>
      <w:r>
        <w:rPr>
          <w:rFonts w:ascii="Calibri" w:hAnsi="Calibri"/>
          <w:b/>
          <w:sz w:val="19"/>
        </w:rPr>
        <w:t xml:space="preserve">3. Mandatory Code Review: </w:t>
      </w:r>
      <w:r>
        <w:rPr>
          <w:rFonts w:ascii="Calibri" w:hAnsi="Calibri"/>
          <w:sz w:val="19"/>
        </w:rPr>
        <w:t>Setiap perubahan infrastruktur wajib melalui mekanisme Pull Request (PR) dengan review minimal 1 Senior DevOps Engineer.</w:t>
      </w:r>
    </w:p>
    <w:p>
      <w:pPr>
        <w:pStyle w:val="ListBullet"/>
        <w:spacing w:before="0" w:after="40" w:line="276" w:lineRule="auto"/>
      </w:pPr>
      <w:r>
        <w:rPr>
          <w:rFonts w:ascii="Calibri" w:hAnsi="Calibri"/>
          <w:b/>
          <w:sz w:val="19"/>
        </w:rPr>
        <w:t xml:space="preserve">4. Automated IaC Scanning: </w:t>
      </w:r>
      <w:r>
        <w:rPr>
          <w:rFonts w:ascii="Calibri" w:hAnsi="Calibri"/>
          <w:sz w:val="19"/>
        </w:rPr>
        <w:t>Penerapan automated security scanning pada pipeline CI/CD (Checkov / tfsec / Trivy) sebelum perubahan dideploy.</w:t>
      </w:r>
    </w:p>
    <w:p>
      <w:pPr>
        <w:pStyle w:val="ListBullet"/>
        <w:spacing w:before="0" w:after="40" w:line="276" w:lineRule="auto"/>
      </w:pPr>
      <w:r>
        <w:rPr>
          <w:rFonts w:ascii="Calibri" w:hAnsi="Calibri"/>
          <w:b/>
          <w:sz w:val="19"/>
        </w:rPr>
        <w:t xml:space="preserve">5. Drift Detection: </w:t>
      </w:r>
      <w:r>
        <w:rPr>
          <w:rFonts w:ascii="Calibri" w:hAnsi="Calibri"/>
          <w:sz w:val="19"/>
        </w:rPr>
        <w:t>Pemeriksaan konfigurasi drift (drift detection) otomatis setiap minggu untuk mendeteksi perubahan manual di luar IaC.</w:t>
      </w:r>
    </w:p>
    <w:p>
      <w:pPr>
        <w:keepNext/>
        <w:spacing w:before="280" w:after="80"/>
      </w:pPr>
      <w:r>
        <w:rPr>
          <w:rFonts w:ascii="Calibri" w:hAnsi="Calibri"/>
          <w:b/>
          <w:color w:val="1F3864"/>
          <w:sz w:val="26"/>
        </w:rPr>
        <w:t>14. Manajemen Kerentanan &amp; Patching Cloud</w:t>
      </w:r>
    </w:p>
    <w:p>
      <w:pPr>
        <w:pStyle w:val="ListBullet"/>
        <w:spacing w:before="0" w:after="40" w:line="276" w:lineRule="auto"/>
      </w:pPr>
      <w:r>
        <w:rPr>
          <w:rFonts w:ascii="Calibri" w:hAnsi="Calibri"/>
          <w:b/>
          <w:sz w:val="19"/>
        </w:rPr>
        <w:t xml:space="preserve">1. Daily Vulnerability Scan: </w:t>
      </w:r>
      <w:r>
        <w:rPr>
          <w:rFonts w:ascii="Calibri" w:hAnsi="Calibri"/>
          <w:sz w:val="19"/>
        </w:rPr>
        <w:t>Pemindaian kerentanan otomatis harian pada container images dan instance VM.</w:t>
      </w:r>
    </w:p>
    <w:p>
      <w:pPr>
        <w:pStyle w:val="ListBullet"/>
        <w:spacing w:before="0" w:after="40" w:line="276" w:lineRule="auto"/>
      </w:pPr>
      <w:r>
        <w:rPr>
          <w:rFonts w:ascii="Calibri" w:hAnsi="Calibri"/>
          <w:b/>
          <w:sz w:val="19"/>
        </w:rPr>
        <w:t xml:space="preserve">2. Critical Patch SLA: </w:t>
      </w:r>
      <w:r>
        <w:rPr>
          <w:rFonts w:ascii="Calibri" w:hAnsi="Calibri"/>
          <w:sz w:val="19"/>
        </w:rPr>
        <w:t>Patching kerentanan kritis (Critical Severity) wajib diselesaikan maksimal dalam tempo 1x24 jam.</w:t>
      </w:r>
    </w:p>
    <w:p>
      <w:pPr>
        <w:pStyle w:val="ListBullet"/>
        <w:spacing w:before="0" w:after="40" w:line="276" w:lineRule="auto"/>
      </w:pPr>
      <w:r>
        <w:rPr>
          <w:rFonts w:ascii="Calibri" w:hAnsi="Calibri"/>
          <w:b/>
          <w:sz w:val="19"/>
        </w:rPr>
        <w:t xml:space="preserve">3. High Patch SLA: </w:t>
      </w:r>
      <w:r>
        <w:rPr>
          <w:rFonts w:ascii="Calibri" w:hAnsi="Calibri"/>
          <w:sz w:val="19"/>
        </w:rPr>
        <w:t>Patching kerentanan tinggi (High Severity) diselesaikan maksimal dalam tempo 7 hari kalender.</w:t>
      </w:r>
    </w:p>
    <w:p>
      <w:pPr>
        <w:pStyle w:val="ListBullet"/>
        <w:spacing w:before="0" w:after="40" w:line="276" w:lineRule="auto"/>
      </w:pPr>
      <w:r>
        <w:rPr>
          <w:rFonts w:ascii="Calibri" w:hAnsi="Calibri"/>
          <w:b/>
          <w:sz w:val="19"/>
        </w:rPr>
        <w:t xml:space="preserve">4. Annual Cloud Pentest: </w:t>
      </w:r>
      <w:r>
        <w:rPr>
          <w:rFonts w:ascii="Calibri" w:hAnsi="Calibri"/>
          <w:sz w:val="19"/>
        </w:rPr>
        <w:t>Pelaksanaan Penetration Testing independen pada sistem cloud auditsphere.app minimal 1 kali per tahun.</w:t>
      </w:r>
    </w:p>
    <w:p>
      <w:pPr>
        <w:keepNext/>
        <w:spacing w:before="280" w:after="80"/>
      </w:pPr>
      <w:r>
        <w:rPr>
          <w:rFonts w:ascii="Calibri" w:hAnsi="Calibri"/>
          <w:b/>
          <w:color w:val="1F3864"/>
          <w:sz w:val="26"/>
        </w:rPr>
        <w:t>15. Pencadangan Data (Backup) &amp; Disaster Recovery (DR)</w:t>
      </w:r>
    </w:p>
    <w:p>
      <w:pPr>
        <w:pStyle w:val="ListBullet"/>
        <w:spacing w:before="0" w:after="40" w:line="276" w:lineRule="auto"/>
      </w:pPr>
      <w:r>
        <w:rPr>
          <w:rFonts w:ascii="Calibri" w:hAnsi="Calibri"/>
          <w:b/>
          <w:sz w:val="19"/>
        </w:rPr>
        <w:t xml:space="preserve">1. Automated Daily Backup: </w:t>
      </w:r>
      <w:r>
        <w:rPr>
          <w:rFonts w:ascii="Calibri" w:hAnsi="Calibri"/>
          <w:sz w:val="19"/>
        </w:rPr>
        <w:t>Pencadangan basis data otomatis harian (Full Backup) dan transaction log kontinu.</w:t>
      </w:r>
    </w:p>
    <w:p>
      <w:pPr>
        <w:pStyle w:val="ListBullet"/>
        <w:spacing w:before="0" w:after="40" w:line="276" w:lineRule="auto"/>
      </w:pPr>
      <w:r>
        <w:rPr>
          <w:rFonts w:ascii="Calibri" w:hAnsi="Calibri"/>
          <w:b/>
          <w:sz w:val="19"/>
        </w:rPr>
        <w:t xml:space="preserve">2. Cross-Region Replication: </w:t>
      </w:r>
      <w:r>
        <w:rPr>
          <w:rFonts w:ascii="Calibri" w:hAnsi="Calibri"/>
          <w:sz w:val="19"/>
        </w:rPr>
        <w:t>Replikasi snapshot cadangan ke region cloud sekunder (Cross-Region Replication) untuk mengantisipasi bencana kawasan.</w:t>
      </w:r>
    </w:p>
    <w:p>
      <w:pPr>
        <w:pStyle w:val="ListBullet"/>
        <w:spacing w:before="0" w:after="40" w:line="276" w:lineRule="auto"/>
      </w:pPr>
      <w:r>
        <w:rPr>
          <w:rFonts w:ascii="Calibri" w:hAnsi="Calibri"/>
          <w:b/>
          <w:sz w:val="19"/>
        </w:rPr>
        <w:t xml:space="preserve">3. Ransomware Protection: </w:t>
      </w:r>
      <w:r>
        <w:rPr>
          <w:rFonts w:ascii="Calibri" w:hAnsi="Calibri"/>
          <w:sz w:val="19"/>
        </w:rPr>
        <w:t>Cadangan dilindungi fitur Immutable Vault / Object Lock dari ancaman enkripsi ransomware.</w:t>
      </w:r>
    </w:p>
    <w:p>
      <w:pPr>
        <w:pStyle w:val="ListBullet"/>
        <w:spacing w:before="0" w:after="40" w:line="276" w:lineRule="auto"/>
      </w:pPr>
      <w:r>
        <w:rPr>
          <w:rFonts w:ascii="Calibri" w:hAnsi="Calibri"/>
          <w:b/>
          <w:sz w:val="19"/>
        </w:rPr>
        <w:t xml:space="preserve">4. Semiannual Restore Test: </w:t>
      </w:r>
      <w:r>
        <w:rPr>
          <w:rFonts w:ascii="Calibri" w:hAnsi="Calibri"/>
          <w:sz w:val="19"/>
        </w:rPr>
        <w:t>Simulasi uji pemulihan data (Restore Testing) wajib dilakukan minimal setiap 6 bulan sekali.</w:t>
      </w:r>
    </w:p>
    <w:p>
      <w:pPr>
        <w:pStyle w:val="ListBullet"/>
        <w:spacing w:before="0" w:after="40" w:line="276" w:lineRule="auto"/>
      </w:pPr>
      <w:r>
        <w:rPr>
          <w:rFonts w:ascii="Calibri" w:hAnsi="Calibri"/>
          <w:b/>
          <w:sz w:val="19"/>
        </w:rPr>
        <w:t xml:space="preserve">5. RTO/RPO SLA: </w:t>
      </w:r>
      <w:r>
        <w:rPr>
          <w:rFonts w:ascii="Calibri" w:hAnsi="Calibri"/>
          <w:sz w:val="19"/>
        </w:rPr>
        <w:t>Target toleransi kehilangan data (RPO) ≤ 15 menit dan target waktu pemulihan (RTO) ≤ 4 jam.</w:t>
      </w:r>
    </w:p>
    <w:p>
      <w:pPr>
        <w:keepNext/>
        <w:spacing w:before="280" w:after="80"/>
      </w:pPr>
      <w:r>
        <w:rPr>
          <w:rFonts w:ascii="Calibri" w:hAnsi="Calibri"/>
          <w:b/>
          <w:color w:val="1F3864"/>
          <w:sz w:val="26"/>
        </w:rPr>
        <w:t>16. Keamanan Kontainer &amp; Orkestrasi Kubernetes</w:t>
      </w:r>
    </w:p>
    <w:p>
      <w:pPr>
        <w:pStyle w:val="ListBullet"/>
        <w:spacing w:before="0" w:after="40" w:line="276" w:lineRule="auto"/>
      </w:pPr>
      <w:r>
        <w:rPr>
          <w:rFonts w:ascii="Calibri" w:hAnsi="Calibri"/>
          <w:b/>
          <w:sz w:val="19"/>
        </w:rPr>
        <w:t xml:space="preserve">1. Minimal Base Images: </w:t>
      </w:r>
      <w:r>
        <w:rPr>
          <w:rFonts w:ascii="Calibri" w:hAnsi="Calibri"/>
          <w:sz w:val="19"/>
        </w:rPr>
        <w:t>Wajib menggunakan basis image minimalis (Alpine Linux / Distroless) untuk memperkecil attack surface.</w:t>
      </w:r>
    </w:p>
    <w:p>
      <w:pPr>
        <w:pStyle w:val="ListBullet"/>
        <w:spacing w:before="0" w:after="40" w:line="276" w:lineRule="auto"/>
      </w:pPr>
      <w:r>
        <w:rPr>
          <w:rFonts w:ascii="Calibri" w:hAnsi="Calibri"/>
          <w:b/>
          <w:sz w:val="19"/>
        </w:rPr>
        <w:t xml:space="preserve">2. Non-Root Execution: </w:t>
      </w:r>
      <w:r>
        <w:rPr>
          <w:rFonts w:ascii="Calibri" w:hAnsi="Calibri"/>
          <w:sz w:val="19"/>
        </w:rPr>
        <w:t>Kontainer dilarang keras berjalan dengan hak akses root (`USER nonroot`).</w:t>
      </w:r>
    </w:p>
    <w:p>
      <w:pPr>
        <w:pStyle w:val="ListBullet"/>
        <w:spacing w:before="0" w:after="40" w:line="276" w:lineRule="auto"/>
      </w:pPr>
      <w:r>
        <w:rPr>
          <w:rFonts w:ascii="Calibri" w:hAnsi="Calibri"/>
          <w:b/>
          <w:sz w:val="19"/>
        </w:rPr>
        <w:t xml:space="preserve">3. Read-Only Filesystem: </w:t>
      </w:r>
      <w:r>
        <w:rPr>
          <w:rFonts w:ascii="Calibri" w:hAnsi="Calibri"/>
          <w:sz w:val="19"/>
        </w:rPr>
        <w:t>Penerapan sistem berkas hanya-baca (`readOnlyRootFilesystem: true`) pada pod produksi.</w:t>
      </w:r>
    </w:p>
    <w:p>
      <w:pPr>
        <w:pStyle w:val="ListBullet"/>
        <w:spacing w:before="0" w:after="40" w:line="276" w:lineRule="auto"/>
      </w:pPr>
      <w:r>
        <w:rPr>
          <w:rFonts w:ascii="Calibri" w:hAnsi="Calibri"/>
          <w:b/>
          <w:sz w:val="19"/>
        </w:rPr>
        <w:t xml:space="preserve">4. Image Scan &amp; Signing: </w:t>
      </w:r>
      <w:r>
        <w:rPr>
          <w:rFonts w:ascii="Calibri" w:hAnsi="Calibri"/>
          <w:sz w:val="19"/>
        </w:rPr>
        <w:t>Pemindaian kerentanan image menggunakan Trivy dan penandatanganan integritas image menggunakan Cosign.</w:t>
      </w:r>
    </w:p>
    <w:p>
      <w:pPr>
        <w:pStyle w:val="ListBullet"/>
        <w:spacing w:before="0" w:after="40" w:line="276" w:lineRule="auto"/>
      </w:pPr>
      <w:r>
        <w:rPr>
          <w:rFonts w:ascii="Calibri" w:hAnsi="Calibri"/>
          <w:b/>
          <w:sz w:val="19"/>
        </w:rPr>
        <w:t xml:space="preserve">5. Private Registry: </w:t>
      </w:r>
      <w:r>
        <w:rPr>
          <w:rFonts w:ascii="Calibri" w:hAnsi="Calibri"/>
          <w:sz w:val="19"/>
        </w:rPr>
        <w:t>Penyimpanan image wajib pada private container registry yang terotentikasi.</w:t>
      </w:r>
    </w:p>
    <w:p>
      <w:pPr>
        <w:pStyle w:val="ListBullet"/>
        <w:spacing w:before="0" w:after="40" w:line="276" w:lineRule="auto"/>
      </w:pPr>
      <w:r>
        <w:rPr>
          <w:rFonts w:ascii="Calibri" w:hAnsi="Calibri"/>
          <w:b/>
          <w:sz w:val="19"/>
        </w:rPr>
        <w:t xml:space="preserve">6. Network Policy: </w:t>
      </w:r>
      <w:r>
        <w:rPr>
          <w:rFonts w:ascii="Calibri" w:hAnsi="Calibri"/>
          <w:sz w:val="19"/>
        </w:rPr>
        <w:t>Penerapan Kubernetes Network Policies untuk membatasi komunikasi antar-pod (East-West traffic).</w:t>
      </w:r>
    </w:p>
    <w:p>
      <w:pPr>
        <w:keepNext/>
        <w:spacing w:before="280" w:after="80"/>
      </w:pPr>
      <w:r>
        <w:rPr>
          <w:rFonts w:ascii="Calibri" w:hAnsi="Calibri"/>
          <w:b/>
          <w:color w:val="1F3864"/>
          <w:sz w:val="26"/>
        </w:rPr>
        <w:t>17. Keamanan Komputasi Serverless &amp; API Gateway</w:t>
      </w:r>
    </w:p>
    <w:p>
      <w:pPr>
        <w:pStyle w:val="ListBullet"/>
        <w:spacing w:before="0" w:after="40" w:line="276" w:lineRule="auto"/>
      </w:pPr>
      <w:r>
        <w:rPr>
          <w:rFonts w:ascii="Calibri" w:hAnsi="Calibri"/>
          <w:b/>
          <w:sz w:val="19"/>
        </w:rPr>
        <w:t xml:space="preserve">1. Granular Function Role: </w:t>
      </w:r>
      <w:r>
        <w:rPr>
          <w:rFonts w:ascii="Calibri" w:hAnsi="Calibri"/>
          <w:sz w:val="19"/>
        </w:rPr>
        <w:t>Setiap fungsi serverless (Lambda / Cloud Functions) diberikan peran eksekusi IAM spesifik terkecil.</w:t>
      </w:r>
    </w:p>
    <w:p>
      <w:pPr>
        <w:pStyle w:val="ListBullet"/>
        <w:spacing w:before="0" w:after="40" w:line="276" w:lineRule="auto"/>
      </w:pPr>
      <w:r>
        <w:rPr>
          <w:rFonts w:ascii="Calibri" w:hAnsi="Calibri"/>
          <w:b/>
          <w:sz w:val="19"/>
        </w:rPr>
        <w:t xml:space="preserve">2. Secrets Manager Integration: </w:t>
      </w:r>
      <w:r>
        <w:rPr>
          <w:rFonts w:ascii="Calibri" w:hAnsi="Calibri"/>
          <w:sz w:val="19"/>
        </w:rPr>
        <w:t>Kredensial dan secret dilarang ditulis hardcoded; wajib diambil dari Secret Manager saat runtime.</w:t>
      </w:r>
    </w:p>
    <w:p>
      <w:pPr>
        <w:pStyle w:val="ListBullet"/>
        <w:spacing w:before="0" w:after="40" w:line="276" w:lineRule="auto"/>
      </w:pPr>
      <w:r>
        <w:rPr>
          <w:rFonts w:ascii="Calibri" w:hAnsi="Calibri"/>
          <w:b/>
          <w:sz w:val="19"/>
        </w:rPr>
        <w:t xml:space="preserve">3. Timeout &amp; Resource Limits: </w:t>
      </w:r>
      <w:r>
        <w:rPr>
          <w:rFonts w:ascii="Calibri" w:hAnsi="Calibri"/>
          <w:sz w:val="19"/>
        </w:rPr>
        <w:t>Pembatasan durasi timeout maksimal dan alokasi batas memori untuk mencegah eksploitasi denial-of-service / runaway billing.</w:t>
      </w:r>
    </w:p>
    <w:p>
      <w:pPr>
        <w:pStyle w:val="ListBullet"/>
        <w:spacing w:before="0" w:after="40" w:line="276" w:lineRule="auto"/>
      </w:pPr>
      <w:r>
        <w:rPr>
          <w:rFonts w:ascii="Calibri" w:hAnsi="Calibri"/>
          <w:b/>
          <w:sz w:val="19"/>
        </w:rPr>
        <w:t xml:space="preserve">4. API Gateway Validation: </w:t>
      </w:r>
      <w:r>
        <w:rPr>
          <w:rFonts w:ascii="Calibri" w:hAnsi="Calibri"/>
          <w:sz w:val="19"/>
        </w:rPr>
        <w:t>Validasi skema request dan sanitasi input secara ketat pada layer API Gateway.</w:t>
      </w:r>
    </w:p>
    <w:p>
      <w:pPr>
        <w:keepNext/>
        <w:spacing w:before="280" w:after="80"/>
      </w:pPr>
      <w:r>
        <w:rPr>
          <w:rFonts w:ascii="Calibri" w:hAnsi="Calibri"/>
          <w:b/>
          <w:color w:val="1F3864"/>
          <w:sz w:val="26"/>
        </w:rPr>
        <w:t>18. Manajemen Biaya Cloud, Tagihan &amp; FinOps</w:t>
      </w:r>
    </w:p>
    <w:p>
      <w:pPr>
        <w:pStyle w:val="ListBullet"/>
        <w:spacing w:before="0" w:after="40" w:line="276" w:lineRule="auto"/>
      </w:pPr>
      <w:r>
        <w:rPr>
          <w:rFonts w:ascii="Calibri" w:hAnsi="Calibri"/>
          <w:b/>
          <w:sz w:val="19"/>
        </w:rPr>
        <w:t xml:space="preserve">1. Budget Alerts: </w:t>
      </w:r>
      <w:r>
        <w:rPr>
          <w:rFonts w:ascii="Calibri" w:hAnsi="Calibri"/>
          <w:sz w:val="19"/>
        </w:rPr>
        <w:t>Penetapan batas anggaran (Cloud Budget) per divisi dan aktivasi alert otomatis saat pemakaian mencapai 80% dan 100%.</w:t>
      </w:r>
    </w:p>
    <w:p>
      <w:pPr>
        <w:pStyle w:val="ListBullet"/>
        <w:spacing w:before="0" w:after="40" w:line="276" w:lineRule="auto"/>
      </w:pPr>
      <w:r>
        <w:rPr>
          <w:rFonts w:ascii="Calibri" w:hAnsi="Calibri"/>
          <w:b/>
          <w:sz w:val="19"/>
        </w:rPr>
        <w:t xml:space="preserve">2. Mandatory Resource Tagging: </w:t>
      </w:r>
      <w:r>
        <w:rPr>
          <w:rFonts w:ascii="Calibri" w:hAnsi="Calibri"/>
          <w:sz w:val="19"/>
        </w:rPr>
        <w:t>Pemberlakuan tag wajib (`Environment`, `Owner`, `Project`, `CostCenter`) pada seluruh sumber daya cloud.</w:t>
      </w:r>
    </w:p>
    <w:p>
      <w:pPr>
        <w:pStyle w:val="ListBullet"/>
        <w:spacing w:before="0" w:after="40" w:line="276" w:lineRule="auto"/>
      </w:pPr>
      <w:r>
        <w:rPr>
          <w:rFonts w:ascii="Calibri" w:hAnsi="Calibri"/>
          <w:b/>
          <w:sz w:val="19"/>
        </w:rPr>
        <w:t xml:space="preserve">3. Monthly Right-Sizing: </w:t>
      </w:r>
      <w:r>
        <w:rPr>
          <w:rFonts w:ascii="Calibri" w:hAnsi="Calibri"/>
          <w:sz w:val="19"/>
        </w:rPr>
        <w:t>Audit penyesuaian ukuran kapasitas (Right-Sizing) dan pembersihan sumber daya tak terpakai (Unattached EBS, Idle IP) setiap bulan.</w:t>
      </w:r>
    </w:p>
    <w:p>
      <w:pPr>
        <w:pStyle w:val="ListBullet"/>
        <w:spacing w:before="0" w:after="40" w:line="276" w:lineRule="auto"/>
      </w:pPr>
      <w:r>
        <w:rPr>
          <w:rFonts w:ascii="Calibri" w:hAnsi="Calibri"/>
          <w:b/>
          <w:sz w:val="19"/>
        </w:rPr>
        <w:t xml:space="preserve">4. Savings Plans: </w:t>
      </w:r>
      <w:r>
        <w:rPr>
          <w:rFonts w:ascii="Calibri" w:hAnsi="Calibri"/>
          <w:sz w:val="19"/>
        </w:rPr>
        <w:t>Pemanfaatan komitmen jangka panjang (Savings Plans / Reserved Instances) untuk beban kerja produksi yang stabil guna efisiensi biaya hingga 40%.</w:t>
      </w:r>
    </w:p>
    <w:p>
      <w:pPr>
        <w:keepNext/>
        <w:spacing w:before="280" w:after="80"/>
      </w:pPr>
      <w:r>
        <w:rPr>
          <w:rFonts w:ascii="Calibri" w:hAnsi="Calibri"/>
          <w:b/>
          <w:color w:val="1F3864"/>
          <w:sz w:val="26"/>
        </w:rPr>
        <w:t>19. Manajemen Vendor Cloud &amp; Perjanjian DPA</w:t>
      </w:r>
    </w:p>
    <w:p>
      <w:pPr>
        <w:pStyle w:val="ListBullet"/>
        <w:spacing w:before="0" w:after="40" w:line="276" w:lineRule="auto"/>
      </w:pPr>
      <w:r>
        <w:rPr>
          <w:rFonts w:ascii="Calibri" w:hAnsi="Calibri"/>
          <w:b/>
          <w:sz w:val="19"/>
        </w:rPr>
        <w:t xml:space="preserve">1. Pre-Adoption Assessment: </w:t>
      </w:r>
      <w:r>
        <w:rPr>
          <w:rFonts w:ascii="Calibri" w:hAnsi="Calibri"/>
          <w:sz w:val="19"/>
        </w:rPr>
        <w:t>Seluruh penyedia cloud wajib melalui proses evaluasi supplier assessment (SAP-001) sebelum penerbitan PO.</w:t>
      </w:r>
    </w:p>
    <w:p>
      <w:pPr>
        <w:pStyle w:val="ListBullet"/>
        <w:spacing w:before="0" w:after="40" w:line="276" w:lineRule="auto"/>
      </w:pPr>
      <w:r>
        <w:rPr>
          <w:rFonts w:ascii="Calibri" w:hAnsi="Calibri"/>
          <w:b/>
          <w:sz w:val="19"/>
        </w:rPr>
        <w:t xml:space="preserve">2. Mandatory DPA: </w:t>
      </w:r>
      <w:r>
        <w:rPr>
          <w:rFonts w:ascii="Calibri" w:hAnsi="Calibri"/>
          <w:sz w:val="19"/>
        </w:rPr>
        <w:t>Wajib menandatangani Data Processing Agreement (DPA) yang memuat klausul kepatuhan UU PDP No. 27/2022.</w:t>
      </w:r>
    </w:p>
    <w:p>
      <w:pPr>
        <w:pStyle w:val="ListBullet"/>
        <w:spacing w:before="0" w:after="40" w:line="276" w:lineRule="auto"/>
      </w:pPr>
      <w:r>
        <w:rPr>
          <w:rFonts w:ascii="Calibri" w:hAnsi="Calibri"/>
          <w:b/>
          <w:sz w:val="19"/>
        </w:rPr>
        <w:t xml:space="preserve">3. Documented Exit Plan: </w:t>
      </w:r>
      <w:r>
        <w:rPr>
          <w:rFonts w:ascii="Calibri" w:hAnsi="Calibri"/>
          <w:sz w:val="19"/>
        </w:rPr>
        <w:t>Wajib memiliki Cloud Exit Plan (CES-001) yang teruji untuk setiap layanan cloud berkategori risiko Kritikal.</w:t>
      </w:r>
    </w:p>
    <w:p>
      <w:pPr>
        <w:keepNext/>
        <w:spacing w:before="280" w:after="80"/>
      </w:pPr>
      <w:r>
        <w:rPr>
          <w:rFonts w:ascii="Calibri" w:hAnsi="Calibri"/>
          <w:b/>
          <w:color w:val="1F3864"/>
          <w:sz w:val="26"/>
        </w:rPr>
        <w:t>20. Manajemen Insiden Keamanan di Lingkungan Cloud</w:t>
      </w:r>
    </w:p>
    <w:p>
      <w:pPr>
        <w:pStyle w:val="ListBullet"/>
        <w:spacing w:before="0" w:after="40" w:line="276" w:lineRule="auto"/>
      </w:pPr>
      <w:r>
        <w:rPr>
          <w:rFonts w:ascii="Calibri" w:hAnsi="Calibri"/>
          <w:b/>
          <w:sz w:val="19"/>
        </w:rPr>
        <w:t xml:space="preserve">1. IRP-002 Alignment: </w:t>
      </w:r>
      <w:r>
        <w:rPr>
          <w:rFonts w:ascii="Calibri" w:hAnsi="Calibri"/>
          <w:sz w:val="19"/>
        </w:rPr>
        <w:t>Penanganan insiden keamanan cloud dikoordinasikan langsung oleh Incident Response Team sesuai IRP-002.</w:t>
      </w:r>
    </w:p>
    <w:p>
      <w:pPr>
        <w:pStyle w:val="ListBullet"/>
        <w:spacing w:before="0" w:after="40" w:line="276" w:lineRule="auto"/>
      </w:pPr>
      <w:r>
        <w:rPr>
          <w:rFonts w:ascii="Calibri" w:hAnsi="Calibri"/>
          <w:b/>
          <w:sz w:val="19"/>
        </w:rPr>
        <w:t xml:space="preserve">2. CSP Notification: </w:t>
      </w:r>
      <w:r>
        <w:rPr>
          <w:rFonts w:ascii="Calibri" w:hAnsi="Calibri"/>
          <w:sz w:val="19"/>
        </w:rPr>
        <w:t>Eskalasi darurat ke pihak CSP wajib dilakukan maksimal dalam 1x24 jam sejak konfirmasi insiden.</w:t>
      </w:r>
    </w:p>
    <w:p>
      <w:pPr>
        <w:pStyle w:val="ListBullet"/>
        <w:spacing w:before="0" w:after="40" w:line="276" w:lineRule="auto"/>
      </w:pPr>
      <w:r>
        <w:rPr>
          <w:rFonts w:ascii="Calibri" w:hAnsi="Calibri"/>
          <w:b/>
          <w:sz w:val="19"/>
        </w:rPr>
        <w:t xml:space="preserve">3. Cloud Forensics: </w:t>
      </w:r>
      <w:r>
        <w:rPr>
          <w:rFonts w:ascii="Calibri" w:hAnsi="Calibri"/>
          <w:sz w:val="19"/>
        </w:rPr>
        <w:t>Pengambilan bukti forensik digital (Memory dump, Disk snapshot, Flow logs) dilakukan dengan rantai penanganan bukti (Chain of Custody) sah.</w:t>
      </w:r>
    </w:p>
    <w:p>
      <w:pPr>
        <w:pStyle w:val="ListBullet"/>
        <w:spacing w:before="0" w:after="40" w:line="276" w:lineRule="auto"/>
      </w:pPr>
      <w:r>
        <w:rPr>
          <w:rFonts w:ascii="Calibri" w:hAnsi="Calibri"/>
          <w:b/>
          <w:sz w:val="19"/>
        </w:rPr>
        <w:t xml:space="preserve">4. Regulatory Notification: </w:t>
      </w:r>
      <w:r>
        <w:rPr>
          <w:rFonts w:ascii="Calibri" w:hAnsi="Calibri"/>
          <w:sz w:val="19"/>
        </w:rPr>
        <w:t>Pemberitahuan kepada subjek data pribadi dan otoritas regulasi dilakukan dalam waktu maksimal 3x24 jam sesuai ketentuan UU PDP.</w:t>
      </w:r>
    </w:p>
    <w:p>
      <w:pPr>
        <w:keepNext/>
        <w:spacing w:before="280" w:after="80"/>
      </w:pPr>
      <w:r>
        <w:rPr>
          <w:rFonts w:ascii="Calibri" w:hAnsi="Calibri"/>
          <w:b/>
          <w:color w:val="1F3864"/>
          <w:sz w:val="26"/>
        </w:rPr>
        <w:t>21. Peran, Tanggung Jawab &amp; Sanksi Kepatuhan</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2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Organisasi</w:t>
            </w:r>
          </w:p>
        </w:tc>
        <w:tc>
          <w:tcPr>
            <w:tcW w:type="dxa" w:w="62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Tanggung Jawab Utama Keamanan Cloud</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Direktur Utama (Top Management)</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Menyetujui kebijakan, mengalokasikan anggaran keamanan, dan bertanggung jawab penuh secara hukum.</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Security Officer</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Memelihara kebijakan, memantau kepatuhan harian, mengelola integrasi SIEM, dan mengkaji audit.</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DevOps Lead</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Mengimplementasikan kontrol teknis, memelihara IaC, mengelola CI/CD pipeline, dan FinOps.</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ISMS Manager</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Memastikan keselarasan kontrol cloud dengan klausul ISO/IEC 27001:2022 dan mengarsipkan bukti audit.</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Data Protection Officer (DPO)</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Mengawasi kepatuhan pemrosesan data pribadi di cloud sesuai regulasi UU PDP.</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Software Engineers</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Menulis kode yang aman, mengelola dependencies, dan mematuhi standar containerization.</w:t>
            </w:r>
          </w:p>
        </w:tc>
      </w:tr>
      <w:tr>
        <w:trPr>
          <w:cantSplit/>
        </w:trPr>
        <w:tc>
          <w:tcPr>
            <w:tcW w:type="dxa" w:w="2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Seluruh Karyawan &amp; Vendor</w:t>
            </w:r>
          </w:p>
        </w:tc>
        <w:tc>
          <w:tcPr>
            <w:tcW w:type="dxa" w:w="62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Mematuhi kebijakan keamanan cloud, menggunakan MFA, dan melaporkan potensi anomali/insiden.</w:t>
            </w:r>
          </w:p>
        </w:tc>
      </w:tr>
    </w:tbl>
    <w:p>
      <w:pPr>
        <w:spacing w:before="0" w:after="80"/>
      </w:pPr>
    </w:p>
    <w:p>
      <w:pPr>
        <w:spacing w:before="0" w:after="60" w:line="276" w:lineRule="auto"/>
      </w:pPr>
      <w:r>
        <w:rPr>
          <w:rFonts w:ascii="Calibri" w:hAnsi="Calibri"/>
          <w:i w:val="0"/>
          <w:sz w:val="19"/>
        </w:rPr>
        <w:t>Kepatuhan terhadap kebijakan ini bersifat WAJIB bagi seluruh personel. Pelanggaran yang disengaja dapat dikenakan sanksi disipliner hingga pemutusan hubungan kerja dan tuntutan hukum pidana/perdata sesuai peraturan perundang-undangan Republik Indonesia.</w:t>
      </w:r>
    </w:p>
    <w:p>
      <w:pPr>
        <w:keepNext/>
        <w:spacing w:before="280" w:after="80"/>
      </w:pPr>
      <w:r>
        <w:rPr>
          <w:rFonts w:ascii="Calibri" w:hAnsi="Calibri"/>
          <w:b/>
          <w:color w:val="1F3864"/>
          <w:sz w:val="26"/>
        </w:rPr>
        <w:t>22. Lembar Pengesahan &amp; Tanda Tangan Resmi</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8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Peran Pengesahan</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Nama Pejabat</w:t>
            </w:r>
          </w:p>
        </w:tc>
        <w:tc>
          <w:tcPr>
            <w:tcW w:type="dxa" w:w="20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Jabatan Struktural</w:t>
            </w:r>
          </w:p>
        </w:tc>
        <w:tc>
          <w:tcPr>
            <w:tcW w:type="dxa" w:w="15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Tanggal</w:t>
            </w:r>
          </w:p>
        </w:tc>
        <w:tc>
          <w:tcPr>
            <w:tcW w:type="dxa" w:w="17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Tanda Tangan</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Disusun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Dimas Arya, S.Kom.</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DevOps Lead</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Ditinjau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Rian Hidayat, M.Kom., CISSP</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Security Officer</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r>
        <w:trPr>
          <w:cantSplit/>
        </w:trPr>
        <w:tc>
          <w:tcPr>
            <w:tcW w:type="dxa" w:w="18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Disetujui Oleh</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Budi Santoso, S.T., MBA</w:t>
            </w:r>
          </w:p>
        </w:tc>
        <w:tc>
          <w:tcPr>
            <w:tcW w:type="dxa" w:w="20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Direktur Utama</w:t>
            </w:r>
          </w:p>
        </w:tc>
        <w:tc>
          <w:tcPr>
            <w:tcW w:type="dxa" w:w="15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28 September 2026</w:t>
            </w:r>
          </w:p>
        </w:tc>
        <w:tc>
          <w:tcPr>
            <w:tcW w:type="dxa" w:w="17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jc w:val="center"/>
            </w:pPr>
            <w:r/>
            <w:r>
              <w:rPr>
                <w:rFonts w:ascii="Calibri" w:hAnsi="Calibri"/>
                <w:b/>
                <w:color w:val="1F3864"/>
                <w:sz w:val="19"/>
              </w:rPr>
              <w:t>[Ditandatangani Digital]</w:t>
            </w:r>
          </w:p>
        </w:tc>
      </w:tr>
    </w:tbl>
    <w:p>
      <w:pPr>
        <w:spacing w:before="0" w:after="80"/>
      </w:pPr>
    </w:p>
    <w:p>
      <w:pPr>
        <w:keepNext/>
        <w:spacing w:before="280" w:after="80"/>
      </w:pPr>
      <w:r>
        <w:rPr>
          <w:rFonts w:ascii="Calibri" w:hAnsi="Calibri"/>
          <w:b/>
          <w:color w:val="1F3864"/>
          <w:sz w:val="26"/>
        </w:rPr>
        <w:t>23. Checklist Persiapan Penetration Testing (Pre-Pentest) auditsphere.app</w:t>
      </w:r>
    </w:p>
    <w:p>
      <w:pPr>
        <w:spacing w:before="0" w:after="60" w:line="276" w:lineRule="auto"/>
      </w:pPr>
      <w:r>
        <w:rPr>
          <w:rFonts w:ascii="Calibri" w:hAnsi="Calibri"/>
          <w:i w:val="0"/>
          <w:sz w:val="19"/>
        </w:rPr>
        <w:t>Checklist verifikasi kesiapan pengujian penetrasi keamanan pada infrastruktur cloud auditsphere.app:</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Domain Pengujian</w:t>
            </w:r>
          </w:p>
        </w:tc>
        <w:tc>
          <w:tcPr>
            <w:tcW w:type="dxa" w:w="4326"/>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Aktivitas Pre-Pentest auditsphere.app</w:t>
            </w:r>
          </w:p>
        </w:tc>
        <w:tc>
          <w:tcPr>
            <w:tcW w:type="dxa" w:w="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b/>
                <w:color w:val="FFFFFF"/>
                <w:sz w:val="18"/>
              </w:rPr>
              <w:t>Status</w:t>
            </w:r>
          </w:p>
        </w:tc>
        <w:tc>
          <w:tcPr>
            <w:tcW w:type="dxa" w:w="1900"/>
            <w:shd w:fill="1F3864"/>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color w:val="FFFFFF"/>
                <w:sz w:val="18"/>
              </w:rPr>
              <w:t>Nomor Bukti (Evidence ID)</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Legal &amp; RoE (A.5.31)</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Penandatanganan NDA formal dan penerbitan Surat Izin Pengetesan (LoA) resmi.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ORG-LoA-202610-CloudPentest-v1.pdf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Legal &amp; RoE (A.8.34)</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Penetapan jadwal testing window dan batasan ruang lingkup target domain/API.</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ORG-RoE-202610-ScopeAndWindow-v1.pdf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Kordinasi CSP (A.5.23)</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Pemberitahuan kepada CSP sesuai kebijakan Penetration Testing Policy vendor.</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ORG-CSPNotice-202610-AWSNotice-v1.pdf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Lingkungan Uji (A.8.31)</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Penyiapan staging environment terisolasi dari basis data produksi aktif.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TEC-EnvSegregation-202610-Staging-v1.pdf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Whitelisting (A.8.20)</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Whitelisting IP Address pengetes pada WAF Cloudflare / AWS WAF.</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TEC-NetworkSec-202610-WAFWhitelist-v1.png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Snapshot Backup (A.8.13)</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Pelaksanaan Full Snapshot database RDS dan server sebelum uji pentest.</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TEC-BackupRestore-202610-PrePentest-v1.log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Sanitasi Data (UU PDP)</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Sanitasi dan masking seluruh data pribadi menjadi dummy data.</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TEC-DataMasking-202610-TestSanitized-v1.pdf</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Logging Audit (A.8.15)</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Peningkatan level logging CloudTrail dan pengalihan audit trail ke SIEM.</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TEC-Logging-202610-CloudAuditTrail-v1.png</w:t>
            </w:r>
          </w:p>
        </w:tc>
      </w:tr>
      <w:tr>
        <w:trPr>
          <w:cantSplit/>
        </w:trPr>
        <w:tc>
          <w:tcPr>
            <w:tcW w:type="dxa" w:w="1900"/>
            <w:shd w:fill="F2F2F2"/>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b/>
                <w:sz w:val="17"/>
              </w:rPr>
              <w:t>Tanggap Darurat (A.5.24)</w:t>
            </w:r>
          </w:p>
        </w:tc>
        <w:tc>
          <w:tcPr>
            <w:tcW w:type="dxa" w:w="4326"/>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Penyusunan kontak darurat (DevOps &amp; Security) serta mekanisme Emergency Stop.</w:t>
            </w:r>
          </w:p>
        </w:tc>
        <w:tc>
          <w:tcPr>
            <w:tcW w:type="dxa" w:w="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center"/>
            </w:pPr>
            <w:r/>
            <w:r>
              <w:rPr>
                <w:rFonts w:ascii="Calibri" w:hAnsi="Calibri"/>
                <w:sz w:val="17"/>
              </w:rPr>
              <w:t>Siap</w:t>
            </w:r>
          </w:p>
        </w:tc>
        <w:tc>
          <w:tcPr>
            <w:tcW w:type="dxa" w:w="1900"/>
            <w:tcMar>
              <w:top w:w="60" w:type="dxa"/>
              <w:bottom w:w="60" w:type="dxa"/>
              <w:left w:w="90" w:type="dxa"/>
              <w:right w:w="90" w:type="dxa"/>
            </w:tcMar>
            <w:tcBorders>
              <w:top w:val="single" w:sz="4" w:space="0" w:color="A6A6A6"/>
              <w:bottom w:val="single" w:sz="4" w:space="0" w:color="A6A6A6"/>
              <w:left w:val="single" w:sz="4" w:space="0" w:color="A6A6A6"/>
              <w:right w:val="single" w:sz="4" w:space="0" w:color="A6A6A6"/>
            </w:tcBorders>
            <w:vAlign w:val="center"/>
          </w:tcPr>
          <w:p>
            <w:pPr>
              <w:spacing w:before="0" w:after="0"/>
              <w:jc w:val="left"/>
            </w:pPr>
            <w:r/>
            <w:r>
              <w:rPr>
                <w:rFonts w:ascii="Calibri" w:hAnsi="Calibri"/>
                <w:sz w:val="17"/>
              </w:rPr>
              <w:t>ORG-IncidentPrep-202610-EscalationTree-v1.pdf</w:t>
            </w:r>
          </w:p>
        </w:tc>
      </w:tr>
    </w:tbl>
    <w:p>
      <w:pPr>
        <w:spacing w:before="0" w:after="80"/>
      </w:pPr>
    </w:p>
    <w:sectPr w:rsidR="00FC693F" w:rsidRPr="0006063C" w:rsidSect="00034616">
      <w:headerReference w:type="default" r:id="rId9"/>
      <w:pgSz w:w="11906" w:h="16838"/>
      <w:pgMar w:top="130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CSP-001 · Cloud Security Policy · v1.0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