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3864"/>
          <w:sz w:val="44"/>
        </w:rPr>
        <w:t>Forensic Readiness Procedure</w:t>
      </w:r>
    </w:p>
    <w:p>
      <w:pPr>
        <w:spacing w:before="0" w:after="280"/>
      </w:pPr>
      <w:r>
        <w:rPr>
          <w:rFonts w:ascii="Calibri" w:hAnsi="Calibri"/>
          <w:b w:val="0"/>
          <w:color w:val="2E5597"/>
          <w:sz w:val="24"/>
        </w:rPr>
        <w:t>AuditSphere® — Prosedur Kesiapan Forensik Digital &amp; Rantai Penjagaan Bukti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Nomor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FRP-001 (DOK-120)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Judul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Forensic Readiness Procedure &amp; Digital Evidence Management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Versi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Tanggal Berlaku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Pemilik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Penulis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Forensic Analyst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Approver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Klasifikasi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Internal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Kontrol ISO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ISO/IEC 27001:2022 A.5.28, A.5.26, A.8.15, NIST SP 800-86, NIST SP 800-101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Review Berikutnya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2027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1. Tujuan &amp; Ruang Lingkup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Menetapkan prosedur kesiapan forensik digital untuk memastikan kemampuan investigasi insiden yang cepat, sah secara hukum (admissible in court), serta terpeliharanya integritas bukti digital di lingkungan PT Bina Audita Indonesia.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Ruang lingkup mencakup: seluruh server cloud &amp; on-premise, database PostgreSQL, endpoint laptop/workstation, capture paket jaringan, repositori log terpusat, dan forensic lab terisolasi.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2. Empat Komponen Kesiapan Forensik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70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Spesifikasi &amp; Kebutuhan Kesiapan</w:t>
            </w:r>
          </w:p>
        </w:tc>
      </w:tr>
      <w:tr>
        <w:trPr>
          <w:cantSplit/>
        </w:trPr>
        <w:tc>
          <w:tcPr>
            <w:tcW w:type="dxa" w:w="2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People</w:t>
            </w:r>
          </w:p>
        </w:tc>
        <w:tc>
          <w:tcPr>
            <w:tcW w:type="dxa" w:w="7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Forensic Analyst bersertifikasi (GCFA/EnCE), IR Analyst, Legal Counsel, IT Ops Lead.</w:t>
            </w:r>
          </w:p>
        </w:tc>
      </w:tr>
      <w:tr>
        <w:trPr>
          <w:cantSplit/>
        </w:trPr>
        <w:tc>
          <w:tcPr>
            <w:tcW w:type="dxa" w:w="2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Process</w:t>
            </w:r>
          </w:p>
        </w:tc>
        <w:tc>
          <w:tcPr>
            <w:tcW w:type="dxa" w:w="7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SOP Penanganan Insiden (IRP-001), Prosedur Akuisisi Bukti, SOP Chain of Custody, SOP Pelaporan.</w:t>
            </w:r>
          </w:p>
        </w:tc>
      </w:tr>
      <w:tr>
        <w:trPr>
          <w:cantSplit/>
        </w:trPr>
        <w:tc>
          <w:tcPr>
            <w:tcW w:type="dxa" w:w="2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Technology</w:t>
            </w:r>
          </w:p>
        </w:tc>
        <w:tc>
          <w:tcPr>
            <w:tcW w:type="dxa" w:w="7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Hardware write-blocker, FTK Imager, Volatility 3, Autopsy, Sleuth Kit, Wireshark, EnCase.</w:t>
            </w:r>
          </w:p>
        </w:tc>
      </w:tr>
      <w:tr>
        <w:trPr>
          <w:cantSplit/>
        </w:trPr>
        <w:tc>
          <w:tcPr>
            <w:tcW w:type="dxa" w:w="2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Facility</w:t>
            </w:r>
          </w:p>
        </w:tc>
        <w:tc>
          <w:tcPr>
            <w:tcW w:type="dxa" w:w="7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Lab forensik air-gapped, safe locker tahan api, kontrol akses biometrik, media penyimpanan aman.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3. Urutan Volatilitas (Order of Volatility)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Pengumpulan bukti digital wajib mematuhi urutan ketahanan data dari yang paling cepat hilang (volatile) hingga yang persisten: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Tingkat</w:t>
            </w:r>
          </w:p>
        </w:tc>
        <w:tc>
          <w:tcPr>
            <w:tcW w:type="dxa" w:w="3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Jenis Bukti Digital</w:t>
            </w:r>
          </w:p>
        </w:tc>
        <w:tc>
          <w:tcPr>
            <w:tcW w:type="dxa" w:w="51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Metode &amp; Prosedur Akuisisi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Memori RAM &amp; Cache CPU</w:t>
            </w:r>
          </w:p>
        </w:tc>
        <w:tc>
          <w:tcPr>
            <w:tcW w:type="dxa" w:w="5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Dump memori fisik dengan Volatility / WinPmem sebelum sistem dimatikan.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Status Jaringan Aktif</w:t>
            </w:r>
          </w:p>
        </w:tc>
        <w:tc>
          <w:tcPr>
            <w:tcW w:type="dxa" w:w="5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Koneksi TCP/UDP aktif, routing table, ARP cache.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Proses Berjalan</w:t>
            </w:r>
          </w:p>
        </w:tc>
        <w:tc>
          <w:tcPr>
            <w:tcW w:type="dxa" w:w="5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Running processes, handle, DLL ter-load, network sockets.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Disk Penyimpanan Fisik</w:t>
            </w:r>
          </w:p>
        </w:tc>
        <w:tc>
          <w:tcPr>
            <w:tcW w:type="dxa" w:w="5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Bit-by-bit raw image (E01/DD) menggunakan hardware write-blocker.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Cadangan &amp; Arsip Log</w:t>
            </w:r>
          </w:p>
        </w:tc>
        <w:tc>
          <w:tcPr>
            <w:tcW w:type="dxa" w:w="5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Backup snapshot database, log SIEM, syslog server.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4. Formulir Rantai Penjagaan Bukti (Chain of Custody Form)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Atribut Formulir CoC</w:t>
            </w:r>
          </w:p>
        </w:tc>
        <w:tc>
          <w:tcPr>
            <w:tcW w:type="dxa" w:w="6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Contoh Isian Standar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Evidence ID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EVD-202609-[SYSTEM]-[TYPE]-01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Deskripsi Barang Bukti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Raw Disk Image E01 / Memory Dump RAM / Pcap Network Log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Lokasi &amp; Host Sumber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SRV-PROD-DB01 / auditsphere.app staging server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Waktu Koleksi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2026, 14:30:15 WIB (NTP Synchronized)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Petugas Pengumpul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Forensic Analyst Lead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Hash Kriptografis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SHA-256: 4f53cda18c2baa0c0354bb5f9a3ecbe5ed12...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Lokasi Penyimpanan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Evidence Safe Locker #02 (Lab Forensik Lt. 3)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Catatan Serah Terima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Ditransfer ke Legal Counsel untuk keperluan penegakan hukum.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5. Aspek Hukum Pembuktian &amp; Metrik KPI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Kesesuaian UU ITE: </w:t>
      </w:r>
      <w:r>
        <w:rPr>
          <w:rFonts w:ascii="Calibri" w:hAnsi="Calibri"/>
          <w:sz w:val="19"/>
        </w:rPr>
        <w:t>Bukti digital wajib memenuhi syarat keabsahan hukum elektronik sesuai UU ITE No. 19/2016 Pasal 5 dan 6.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Perlindungan PII (UU PDP): </w:t>
      </w:r>
      <w:r>
        <w:rPr>
          <w:rFonts w:ascii="Calibri" w:hAnsi="Calibri"/>
          <w:sz w:val="19"/>
        </w:rPr>
        <w:t>Data Pribadi (PII) yang terkumpul selama akuisisi dilindungi secara ketat sesuai amanat UU PDP No. 27/2022.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Chain of Custody: </w:t>
      </w:r>
      <w:r>
        <w:rPr>
          <w:rFonts w:ascii="Calibri" w:hAnsi="Calibri"/>
          <w:sz w:val="19"/>
        </w:rPr>
        <w:t>Setiap pemindahan atau analisis bukti harus tercatat tanpa celah (gap) pada log Chain of Custody.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Metrik Kinerja Forensik</w:t>
            </w:r>
          </w:p>
        </w:tc>
        <w:tc>
          <w:tcPr>
            <w:tcW w:type="dxa" w:w="1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9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Keterangan Evaluasi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Kesiapan Forensik (Forensic Readiness)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3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Seluruh server memiliki kemampuan logging dan dump memori.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Integritas Bukti (Hash Integrity)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3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Tidak ada perbedaan hash SHA-256 antara master dan working copy.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Kepatuhan Chain of Custody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3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Seluruh bukti memiliki formulir CoC bertanda tangan lengkap.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Waktu Respon Koleksi (Time to Collect)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4 Jam</w:t>
            </w:r>
          </w:p>
        </w:tc>
        <w:tc>
          <w:tcPr>
            <w:tcW w:type="dxa" w:w="3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Waktu dari insiden tereskalasi hingga bukti diamankan.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Jabatan Pengesah</w:t>
            </w:r>
          </w:p>
        </w:tc>
        <w:tc>
          <w:tcPr>
            <w:tcW w:type="dxa" w:w="2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 Pejabat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Direktur Utama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Officer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Legal Manager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Legal Manager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pgSz w:w="11906" w:h="16838"/>
      <w:pgMar w:top="130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FRP-001 · Forensic Readiness Procedure · v1.0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