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4"/>
        </w:rPr>
        <w:t>AI Usage Policy</w:t>
      </w:r>
    </w:p>
    <w:p>
      <w:pPr>
        <w:spacing w:before="0" w:after="280"/>
      </w:pPr>
      <w:r>
        <w:rPr>
          <w:rFonts w:ascii="Calibri" w:hAnsi="Calibri"/>
          <w:b w:val="0"/>
          <w:color w:val="2E5597"/>
          <w:sz w:val="24"/>
        </w:rPr>
        <w:t>AuditSphere® — Kebijakan Penggunaan Kecerdasan Buatan</w:t>
      </w:r>
    </w:p>
    <w:p>
      <w:pPr>
        <w:keepNext/>
        <w:spacing w:before="200" w:after="60"/>
      </w:pPr>
      <w:r>
        <w:rPr>
          <w:rFonts w:ascii="Calibri" w:hAnsi="Calibri"/>
          <w:b/>
          <w:color w:val="2E5597"/>
          <w:sz w:val="22"/>
        </w:rPr>
        <w:t>Document Control</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Field</w:t>
            </w:r>
          </w:p>
        </w:tc>
        <w:tc>
          <w:tcPr>
            <w:tcW w:type="dxa" w:w="6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Nilai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Nomor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AIP-001</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Judul</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AI Usage Policy &amp; Acceptable Use Guidelines</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Versi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Tanggal Berlaku</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Pemilik</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Penulis</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Technical Lead</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Approver</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Klasifikasi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Internal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Kontrol ISO</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ISO/IEC 27001:2022 A.5.10, A.8.28, A.5.34, A.8.24</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Review Berikutnya</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2027</w:t>
            </w:r>
          </w:p>
        </w:tc>
      </w:tr>
    </w:tbl>
    <w:p>
      <w:pPr>
        <w:spacing w:before="0" w:after="80"/>
      </w:pPr>
    </w:p>
    <w:p>
      <w:pPr>
        <w:keepNext/>
        <w:spacing w:before="280" w:after="80"/>
      </w:pPr>
      <w:r>
        <w:rPr>
          <w:rFonts w:ascii="Calibri" w:hAnsi="Calibri"/>
          <w:b/>
          <w:color w:val="1F3864"/>
          <w:sz w:val="26"/>
        </w:rPr>
        <w:t>1. Tujuan Kebijakan</w:t>
      </w:r>
    </w:p>
    <w:p>
      <w:pPr>
        <w:spacing w:before="0" w:after="60" w:line="276" w:lineRule="auto"/>
      </w:pPr>
      <w:r>
        <w:rPr>
          <w:rFonts w:ascii="Calibri" w:hAnsi="Calibri"/>
          <w:i w:val="0"/>
          <w:sz w:val="19"/>
        </w:rPr>
        <w:t>Kebijakan ini menetapkan aturan penggunaan Artificial Intelligence (AI) dan Large Language Model (LLM) di PT Bina Audita Indonesia untuk memastikan pemanfaatan yang aman, etis, produktif, serta selaras dengan regulasi perlindungan data pribadi.</w:t>
      </w:r>
    </w:p>
    <w:p>
      <w:pPr>
        <w:pStyle w:val="ListBullet"/>
        <w:spacing w:before="0" w:after="40" w:line="276" w:lineRule="auto"/>
      </w:pPr>
      <w:r>
        <w:rPr>
          <w:rFonts w:ascii="Calibri" w:hAnsi="Calibri"/>
          <w:b/>
          <w:sz w:val="19"/>
        </w:rPr>
        <w:t xml:space="preserve">Produktivitas: </w:t>
      </w:r>
      <w:r>
        <w:rPr>
          <w:rFonts w:ascii="Calibri" w:hAnsi="Calibri"/>
          <w:sz w:val="19"/>
        </w:rPr>
        <w:t>Mengoptimalkan produktivitas kerja karyawan melalui pemanfaatan AI yang bertanggung jawab.</w:t>
      </w:r>
    </w:p>
    <w:p>
      <w:pPr>
        <w:pStyle w:val="ListBullet"/>
        <w:spacing w:before="0" w:after="40" w:line="276" w:lineRule="auto"/>
      </w:pPr>
      <w:r>
        <w:rPr>
          <w:rFonts w:ascii="Calibri" w:hAnsi="Calibri"/>
          <w:b/>
          <w:sz w:val="19"/>
        </w:rPr>
        <w:t xml:space="preserve">Perlindungan IP: </w:t>
      </w:r>
      <w:r>
        <w:rPr>
          <w:rFonts w:ascii="Calibri" w:hAnsi="Calibri"/>
          <w:sz w:val="19"/>
        </w:rPr>
        <w:t>Melindungi aset informasi, data klien audit, rahasia dagang, dan kekayaan intelektual perusahaan.</w:t>
      </w:r>
    </w:p>
    <w:p>
      <w:pPr>
        <w:pStyle w:val="ListBullet"/>
        <w:spacing w:before="0" w:after="40" w:line="276" w:lineRule="auto"/>
      </w:pPr>
      <w:r>
        <w:rPr>
          <w:rFonts w:ascii="Calibri" w:hAnsi="Calibri"/>
          <w:b/>
          <w:sz w:val="19"/>
        </w:rPr>
        <w:t xml:space="preserve">Kepatuhan UU PDP: </w:t>
      </w:r>
      <w:r>
        <w:rPr>
          <w:rFonts w:ascii="Calibri" w:hAnsi="Calibri"/>
          <w:sz w:val="19"/>
        </w:rPr>
        <w:t>Menjamin kepatuhan mutlak terhadap kewajiban UU PDP No. 27/2022.</w:t>
      </w:r>
    </w:p>
    <w:p>
      <w:pPr>
        <w:pStyle w:val="ListBullet"/>
        <w:spacing w:before="0" w:after="40" w:line="276" w:lineRule="auto"/>
      </w:pPr>
      <w:r>
        <w:rPr>
          <w:rFonts w:ascii="Calibri" w:hAnsi="Calibri"/>
          <w:b/>
          <w:sz w:val="19"/>
        </w:rPr>
        <w:t xml:space="preserve">Mitigasi Risiko: </w:t>
      </w:r>
      <w:r>
        <w:rPr>
          <w:rFonts w:ascii="Calibri" w:hAnsi="Calibri"/>
          <w:sz w:val="19"/>
        </w:rPr>
        <w:t>Memitigasi ancaman keamanan AI spesifik seperti prompt injection dan data leakage.</w:t>
      </w:r>
    </w:p>
    <w:p>
      <w:pPr>
        <w:pStyle w:val="ListBullet"/>
        <w:spacing w:before="0" w:after="40" w:line="276" w:lineRule="auto"/>
      </w:pPr>
      <w:r>
        <w:rPr>
          <w:rFonts w:ascii="Calibri" w:hAnsi="Calibri"/>
          <w:b/>
          <w:sz w:val="19"/>
        </w:rPr>
        <w:t xml:space="preserve">Standar ISO: </w:t>
      </w:r>
      <w:r>
        <w:rPr>
          <w:rFonts w:ascii="Calibri" w:hAnsi="Calibri"/>
          <w:sz w:val="19"/>
        </w:rPr>
        <w:t>Memenuhi standar ISO/IEC 27001:2022 kontrol A.5.10 (Aturan Penggunaan Informasi) dan A.8.28 (Pengembangan Aman).</w:t>
      </w:r>
    </w:p>
    <w:p>
      <w:pPr>
        <w:keepNext/>
        <w:spacing w:before="280" w:after="80"/>
      </w:pPr>
      <w:r>
        <w:rPr>
          <w:rFonts w:ascii="Calibri" w:hAnsi="Calibri"/>
          <w:b/>
          <w:color w:val="1F3864"/>
          <w:sz w:val="26"/>
        </w:rPr>
        <w:t>2. Klasifikasi Tool AI &amp; Matriks Akses Data</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Klasifikasi Tool</w:t>
            </w:r>
          </w:p>
        </w:tc>
        <w:tc>
          <w:tcPr>
            <w:tcW w:type="dxa" w:w="41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Karakteristik &amp; Contoh</w:t>
            </w:r>
          </w:p>
        </w:tc>
        <w:tc>
          <w:tcPr>
            <w:tcW w:type="dxa" w:w="3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Batasan Penggunaan</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Public AI</w:t>
            </w:r>
          </w:p>
        </w:tc>
        <w:tc>
          <w:tcPr>
            <w:tcW w:type="dxa" w:w="41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Layanan publik di mana data prompt dapat dipelajari penyedia (mis. ChatGPT Free, Gemini Free).</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Hanya Data Terbuka / Publik.</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Enterprise AI</w:t>
            </w:r>
          </w:p>
        </w:tc>
        <w:tc>
          <w:tcPr>
            <w:tcW w:type="dxa" w:w="41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Layanan berbayar dengan klausul non-training &amp; data privacy (mis. ChatGPT Enterprise, Claude Team).</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Data Internal Perusahaan &amp; Dokumen Bisnis.</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Private AI</w:t>
            </w:r>
          </w:p>
        </w:tc>
        <w:tc>
          <w:tcPr>
            <w:tcW w:type="dxa" w:w="41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Model open-source yang di-hosting pada server lokal internal (mis. Ollama, HuggingFace lokal).</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Data Sensitif &amp; Dokumen Rahasia (dengan approval).</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Embedded AI</w:t>
            </w:r>
          </w:p>
        </w:tc>
        <w:tc>
          <w:tcPr>
            <w:tcW w:type="dxa" w:w="41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Fitur resmi AI yang tertanam pada produk AuditSphere® (Audit Copilot).</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Sesuai otorisasi RBAC sistem AuditSphere®.</w:t>
            </w:r>
          </w:p>
        </w:tc>
      </w:tr>
    </w:tbl>
    <w:p>
      <w:pPr>
        <w:spacing w:before="0" w:after="80"/>
      </w:pP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1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Klasifikasi Data</w:t>
            </w:r>
          </w:p>
        </w:tc>
        <w:tc>
          <w:tcPr>
            <w:tcW w:type="dxa" w:w="2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Public AI</w:t>
            </w:r>
          </w:p>
        </w:tc>
        <w:tc>
          <w:tcPr>
            <w:tcW w:type="dxa" w:w="2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Enterprise AI</w:t>
            </w:r>
          </w:p>
        </w:tc>
        <w:tc>
          <w:tcPr>
            <w:tcW w:type="dxa" w:w="23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Private / Local AI</w:t>
            </w:r>
          </w:p>
        </w:tc>
      </w:tr>
      <w:tr>
        <w:trPr>
          <w:cantSplit/>
        </w:trPr>
        <w:tc>
          <w:tcPr>
            <w:tcW w:type="dxa" w:w="21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Public</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Bebas Digunakan (✅)</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Bebas Digunakan (✅)</w:t>
            </w:r>
          </w:p>
        </w:tc>
        <w:tc>
          <w:tcPr>
            <w:tcW w:type="dxa" w:w="2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Bebas Digunakan (✅)</w:t>
            </w:r>
          </w:p>
        </w:tc>
      </w:tr>
      <w:tr>
        <w:trPr>
          <w:cantSplit/>
        </w:trPr>
        <w:tc>
          <w:tcPr>
            <w:tcW w:type="dxa" w:w="21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Internal</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Terbatas / Non-Sensitif (⚠️)</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Diizinkan (✅)</w:t>
            </w:r>
          </w:p>
        </w:tc>
        <w:tc>
          <w:tcPr>
            <w:tcW w:type="dxa" w:w="2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Diizinkan (✅)</w:t>
            </w:r>
          </w:p>
        </w:tc>
      </w:tr>
      <w:tr>
        <w:trPr>
          <w:cantSplit/>
        </w:trPr>
        <w:tc>
          <w:tcPr>
            <w:tcW w:type="dxa" w:w="21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Confidential</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KERAS (❌)</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Approval Tertulis (⚠️)</w:t>
            </w:r>
          </w:p>
        </w:tc>
        <w:tc>
          <w:tcPr>
            <w:tcW w:type="dxa" w:w="2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Diizinkan dengan Enkripsi (✅)</w:t>
            </w:r>
          </w:p>
        </w:tc>
      </w:tr>
      <w:tr>
        <w:trPr>
          <w:cantSplit/>
        </w:trPr>
        <w:tc>
          <w:tcPr>
            <w:tcW w:type="dxa" w:w="21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Restricted</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KERAS (❌)</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KERAS (❌)</w:t>
            </w:r>
          </w:p>
        </w:tc>
        <w:tc>
          <w:tcPr>
            <w:tcW w:type="dxa" w:w="2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Approval CISO / Tertutup (⚠️)</w:t>
            </w:r>
          </w:p>
        </w:tc>
      </w:tr>
      <w:tr>
        <w:trPr>
          <w:cantSplit/>
        </w:trPr>
        <w:tc>
          <w:tcPr>
            <w:tcW w:type="dxa" w:w="21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PII (Data Pribadi)</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KERAS (❌)</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KERAS (❌)</w:t>
            </w:r>
          </w:p>
        </w:tc>
        <w:tc>
          <w:tcPr>
            <w:tcW w:type="dxa" w:w="2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Masking / Anonim (⚠️)</w:t>
            </w:r>
          </w:p>
        </w:tc>
      </w:tr>
    </w:tbl>
    <w:p>
      <w:pPr>
        <w:spacing w:before="0" w:after="80"/>
      </w:pPr>
    </w:p>
    <w:p>
      <w:pPr>
        <w:keepNext/>
        <w:spacing w:before="280" w:after="80"/>
      </w:pPr>
      <w:r>
        <w:rPr>
          <w:rFonts w:ascii="Calibri" w:hAnsi="Calibri"/>
          <w:b/>
          <w:color w:val="1F3864"/>
          <w:sz w:val="26"/>
        </w:rPr>
        <w:t>3. Aturan Penggunaan yang Diizinkan vs Dilarang</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4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Aktivitas yang DIIZINKAN (Permitted)</w:t>
            </w:r>
          </w:p>
        </w:tc>
        <w:tc>
          <w:tcPr>
            <w:tcW w:type="dxa" w:w="45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Aktivitas yang DILARANG KERAS (Prohibited)</w:t>
            </w:r>
          </w:p>
        </w:tc>
      </w:tr>
      <w:tr>
        <w:trPr>
          <w:cantSplit/>
        </w:trPr>
        <w:tc>
          <w:tcPr>
            <w:tcW w:type="dxa" w:w="4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 Brainstorming ide &amp; penyusunan kerangka kerja dokumen</w:t>
            </w:r>
          </w:p>
        </w:tc>
        <w:tc>
          <w:tcPr>
            <w:tcW w:type="dxa" w:w="4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 Memasukkan kredensial, API key, token, atau kata sandi</w:t>
            </w:r>
          </w:p>
        </w:tc>
      </w:tr>
      <w:tr>
        <w:trPr>
          <w:cantSplit/>
        </w:trPr>
        <w:tc>
          <w:tcPr>
            <w:tcW w:type="dxa" w:w="4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 Bantuan penulisan kode sumber &amp; modul tes (dengan review)</w:t>
            </w:r>
          </w:p>
        </w:tc>
        <w:tc>
          <w:tcPr>
            <w:tcW w:type="dxa" w:w="4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 Mengunggah source code proprietary ke AI publik</w:t>
            </w:r>
          </w:p>
        </w:tc>
      </w:tr>
      <w:tr>
        <w:trPr>
          <w:cantSplit/>
        </w:trPr>
        <w:tc>
          <w:tcPr>
            <w:tcW w:type="dxa" w:w="4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3. Riset informasi regulasi &amp; sintesis literatur terbuka</w:t>
            </w:r>
          </w:p>
        </w:tc>
        <w:tc>
          <w:tcPr>
            <w:tcW w:type="dxa" w:w="4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3. Mengirim data klien audit atau temuan audit rahasia</w:t>
            </w:r>
          </w:p>
        </w:tc>
      </w:tr>
      <w:tr>
        <w:trPr>
          <w:cantSplit/>
        </w:trPr>
        <w:tc>
          <w:tcPr>
            <w:tcW w:type="dxa" w:w="4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4. Pembuatan dummy data pengujian non-real</w:t>
            </w:r>
          </w:p>
        </w:tc>
        <w:tc>
          <w:tcPr>
            <w:tcW w:type="dxa" w:w="4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4. Memasukkan Data Pribadi (NIK, No HP, Rekening) tanpa masking</w:t>
            </w:r>
          </w:p>
        </w:tc>
      </w:tr>
      <w:tr>
        <w:trPr>
          <w:cantSplit/>
        </w:trPr>
        <w:tc>
          <w:tcPr>
            <w:tcW w:type="dxa" w:w="4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5. Penerjemahan bahasa teknis &amp; perbaikan tata bahasa</w:t>
            </w:r>
          </w:p>
        </w:tc>
        <w:tc>
          <w:tcPr>
            <w:tcW w:type="dxa" w:w="4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5. Memublikasikan hasil AI secara resmi tanpa penelaahan manusia</w:t>
            </w:r>
          </w:p>
        </w:tc>
      </w:tr>
      <w:tr>
        <w:trPr>
          <w:cantSplit/>
        </w:trPr>
        <w:tc>
          <w:tcPr>
            <w:tcW w:type="dxa" w:w="4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6. Analisis perbandingan data statistik publik</w:t>
            </w:r>
          </w:p>
        </w:tc>
        <w:tc>
          <w:tcPr>
            <w:tcW w:type="dxa" w:w="4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6. Membuat keputusan pemutusan kerja atau penilaian tanpa human review</w:t>
            </w:r>
          </w:p>
        </w:tc>
      </w:tr>
    </w:tbl>
    <w:p>
      <w:pPr>
        <w:spacing w:before="0" w:after="80"/>
      </w:pPr>
    </w:p>
    <w:p>
      <w:pPr>
        <w:keepNext/>
        <w:spacing w:before="280" w:after="80"/>
      </w:pPr>
      <w:r>
        <w:rPr>
          <w:rFonts w:ascii="Calibri" w:hAnsi="Calibri"/>
          <w:b/>
          <w:color w:val="1F3864"/>
          <w:sz w:val="26"/>
        </w:rPr>
        <w:t>4. Aturan Khusus Per Departemen</w:t>
      </w:r>
    </w:p>
    <w:p>
      <w:pPr>
        <w:pStyle w:val="ListBullet"/>
        <w:spacing w:before="0" w:after="40" w:line="276" w:lineRule="auto"/>
      </w:pPr>
      <w:r>
        <w:rPr>
          <w:rFonts w:ascii="Calibri" w:hAnsi="Calibri"/>
          <w:b/>
          <w:sz w:val="19"/>
        </w:rPr>
        <w:t xml:space="preserve">Software Engineering &amp; DevOps: </w:t>
      </w:r>
      <w:r>
        <w:rPr>
          <w:rFonts w:ascii="Calibri" w:hAnsi="Calibri"/>
          <w:sz w:val="19"/>
        </w:rPr>
        <w:t>Dilarang membagikan rahasia dagang, private key, atau potongan kode algoritma inti. Setiap dependensi atau pustaka eksternal yang diusulkan oleh AI wajib dipindai melalui scanner dependensi otomatis sebelum di-commit.</w:t>
      </w:r>
    </w:p>
    <w:p>
      <w:pPr>
        <w:pStyle w:val="ListBullet"/>
        <w:spacing w:before="0" w:after="40" w:line="276" w:lineRule="auto"/>
      </w:pPr>
      <w:r>
        <w:rPr>
          <w:rFonts w:ascii="Calibri" w:hAnsi="Calibri"/>
          <w:b/>
          <w:sz w:val="19"/>
        </w:rPr>
        <w:t xml:space="preserve">Human Resources (HR): </w:t>
      </w:r>
      <w:r>
        <w:rPr>
          <w:rFonts w:ascii="Calibri" w:hAnsi="Calibri"/>
          <w:sz w:val="19"/>
        </w:rPr>
        <w:t>AI dilarang digunakan untuk menolak atau meloloskan lamaran kerja secara otomatis tanpa penilaian manusia. Profiling kepribadian kandidat berbasis AI dilarang keras.</w:t>
      </w:r>
    </w:p>
    <w:p>
      <w:pPr>
        <w:pStyle w:val="ListBullet"/>
        <w:spacing w:before="0" w:after="40" w:line="276" w:lineRule="auto"/>
      </w:pPr>
      <w:r>
        <w:rPr>
          <w:rFonts w:ascii="Calibri" w:hAnsi="Calibri"/>
          <w:b/>
          <w:sz w:val="19"/>
        </w:rPr>
        <w:t xml:space="preserve">Marketing &amp; Komunikasi: </w:t>
      </w:r>
      <w:r>
        <w:rPr>
          <w:rFonts w:ascii="Calibri" w:hAnsi="Calibri"/>
          <w:sz w:val="19"/>
        </w:rPr>
        <w:t>Materi publikasi berbasis generative AI wajib diperiksa keaslian hak ciptanya dan tidak boleh mengandung klaim menyesatkan atau teknologi deepfake yang merugikan pihak lain.</w:t>
      </w:r>
    </w:p>
    <w:p>
      <w:pPr>
        <w:pStyle w:val="ListBullet"/>
        <w:spacing w:before="0" w:after="40" w:line="276" w:lineRule="auto"/>
      </w:pPr>
      <w:r>
        <w:rPr>
          <w:rFonts w:ascii="Calibri" w:hAnsi="Calibri"/>
          <w:b/>
          <w:sz w:val="19"/>
        </w:rPr>
        <w:t xml:space="preserve">Pengadaan &amp; Manajemen Vendor: </w:t>
      </w:r>
      <w:r>
        <w:rPr>
          <w:rFonts w:ascii="Calibri" w:hAnsi="Calibri"/>
          <w:sz w:val="19"/>
        </w:rPr>
        <w:t>Pengadaan vendor AI wajib memuat klausul larangan penggunaan data untuk pelatihan model publik, kepatuhan enkripsi, dan jaminan residensi data sesuai hukum Indonesia.</w:t>
      </w:r>
    </w:p>
    <w:p>
      <w:pPr>
        <w:keepNext/>
        <w:spacing w:before="280" w:after="80"/>
      </w:pPr>
      <w:r>
        <w:rPr>
          <w:rFonts w:ascii="Calibri" w:hAnsi="Calibri"/>
          <w:b/>
          <w:color w:val="1F3864"/>
          <w:sz w:val="26"/>
        </w:rPr>
        <w:t>5. Peran, Tanggung Jawab &amp; Sanksi Kepatuhan</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Organisasi</w:t>
            </w:r>
          </w:p>
        </w:tc>
        <w:tc>
          <w:tcPr>
            <w:tcW w:type="dxa" w:w="6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Uraian Tanggung Jawab Utama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Top Management</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Menyetujui kebijakan tata kelola AI dan mengalokasikan sumber daya keamanan.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Security Officer</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Memantau penegakan kebijakan, review insiden, dan audit kontrol AI.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Technical Lead</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Memastikan arsitektur implementasi AI di produk aman dan compliant.</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Protection Officer</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Menilai privasi data (DPIA) dan kepatuhan terhadap regulasi UU PDP.</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Seluruh Karyawan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mematuhi kebijakan, menjaga data rahasia, dan melapor jika terjadi insiden.</w:t>
            </w:r>
          </w:p>
        </w:tc>
      </w:tr>
    </w:tbl>
    <w:p>
      <w:pPr>
        <w:spacing w:before="0" w:after="80"/>
      </w:pPr>
    </w:p>
    <w:p>
      <w:pPr>
        <w:spacing w:before="0" w:after="60" w:line="276" w:lineRule="auto"/>
      </w:pPr>
      <w:r>
        <w:rPr>
          <w:rFonts w:ascii="Calibri" w:hAnsi="Calibri"/>
          <w:i w:val="0"/>
          <w:sz w:val="19"/>
        </w:rPr>
        <w:t>Kepatuhan terhadap kebijakan ini bersifat wajib bagi seluruh personel. Pelanggaran terhadap larangan pengiriman data rahasia atau PII ke AI publik akan dikenakan sanksi disipliner berat hingga pemutusan hubungan kerja serta konsekuensi hukum sesuai UU PDP No. 27/2022.</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Jabatan Pengesah</w:t>
            </w:r>
          </w:p>
        </w:tc>
        <w:tc>
          <w:tcPr>
            <w:tcW w:type="dxa" w:w="26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Nama Pejabat</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Tanda Tangan</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Direktur Utama</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Security Officer</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Technical Lead</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Technical Lead</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Protection Officer</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DPO Lead</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bl>
    <w:p>
      <w:pPr>
        <w:spacing w:before="0" w:after="80"/>
      </w:pPr>
    </w:p>
    <w:sectPr w:rsidR="00FC693F" w:rsidRPr="0006063C" w:rsidSect="00034616">
      <w:headerReference w:type="default" r:id="rId9"/>
      <w:pgSz w:w="11906" w:h="16838"/>
      <w:pgMar w:top="130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AIP-001 · AI Usage Policy · v1.0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