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>Пентафторпиридин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/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Исполнитель: Николай Гавриленко 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Таблица веществ.</w:t>
      </w:r>
    </w:p>
    <w:p>
      <w:tbl>
        <w:tblPr>
          <w:tblBorders>
            <w:top w:val="dashed" w:sz="4"/>
            <w:bottom w:val="dashed" w:sz="4"/>
            <w:left w:val="dashed" w:sz="4"/>
            <w:right w:val="dashed" w:sz="4"/>
            <w:insideH w:val="dashed" w:sz="4"/>
            <w:insideV w:val="dashed" w:sz="4"/>
          </w:tblBorders>
          <w:tblW w:type="auto"/>
        </w:tblPr>
        <w:tr>
          <w:tc>
            <w:tcPr>
              <w:tcW w:type="auto"/>
            </w:tcPr>
            <w:p>
              <w:r>
                <w:rPr>
                  <w:b/>
                  <w:sz w:val="28"/>
                </w:rPr>
                <w:t>Название вещества</w:t>
              </w:r>
              <w:pPr>
                <w:jc w:val="center"/>
              </w:pPr>
            </w:p>
          </w:tc>
          <w:tc>
            <w:tcPr>
              <w:tcW w:type="auto"/>
            </w:tcPr>
            <w:p>
              <w:r>
                <w:rPr>
                  <w:b/>
                  <w:sz w:val="28"/>
                </w:rPr>
                <w:t>Масса вещества (г)</w:t>
              </w:r>
              <w:pPr>
                <w:jc w:val="center"/>
              </w:pPr>
            </w:p>
          </w:tc>
          <w:tc>
            <w:tcPr>
              <w:tcW w:type="auto"/>
            </w:tcPr>
            <w:p>
              <w:r>
                <w:rPr>
                  <w:b/>
                  <w:sz w:val="28"/>
                </w:rPr>
                <w:t>Молярная масса (г / моль)</w:t>
              </w:r>
              <w:pPr>
                <w:jc w:val="center"/>
              </w:pPr>
            </w:p>
          </w:tc>
          <w:tc>
            <w:tcPr>
              <w:tcW w:type="auto"/>
            </w:tcPr>
            <w:p>
              <w:r>
                <w:rPr>
                  <w:b/>
                  <w:sz w:val="28"/>
                </w:rPr>
                <w:t>Коэфициент</w:t>
              </w:r>
              <w:pPr>
                <w:jc w:val="center"/>
              </w:pPr>
            </w:p>
          </w:tc>
        </w:tr>
        <w:tr>
          <w:tc>
            <w:tcPr>
              <w:tcW w:type="auto"/>
            </w:tcPr>
            <w:p>
              <w:r>
                <w:rPr>
                  <w:sz w:val="24"/>
                </w:rPr>
                <w:t/>
              </w:r>
              <w:pPr>
                <w:jc w:val="left"/>
              </w:pPr>
            </w:p>
          </w:tc>
          <w:tc>
            <w:tcPr>
              <w:tcW w:type="auto"/>
            </w:tcPr>
            <w:p>
              <w:r>
                <w:rPr>
                  <w:sz w:val="24"/>
                </w:rPr>
                <w:t>500</w:t>
              </w:r>
              <w:pPr>
                <w:jc w:val="left"/>
              </w:pPr>
            </w:p>
          </w:tc>
          <w:tc>
            <w:tcPr>
              <w:tcW w:type="auto"/>
            </w:tcPr>
            <w:p>
              <w:r>
                <w:rPr>
                  <w:sz w:val="24"/>
                </w:rPr>
                <w:t>1</w:t>
              </w:r>
              <w:pPr>
                <w:jc w:val="left"/>
              </w:pPr>
            </w:p>
          </w:tc>
          <w:tc>
            <w:tcPr>
              <w:tcW w:type="auto"/>
            </w:tcPr>
            <w:p>
              <w:r>
                <w:rPr>
                  <w:sz w:val="24"/>
                </w:rPr>
                <w:t>1</w:t>
              </w:r>
              <w:pPr>
                <w:jc w:val="left"/>
              </w:pPr>
            </w:p>
          </w:tc>
        </w:tr>
        <w:tr>
          <w:tc>
            <w:tcPr>
              <w:tcW w:type="auto"/>
            </w:tcPr>
            <w:p>
              <w:r>
                <w:rPr>
                  <w:sz w:val="24"/>
                </w:rPr>
                <w:t/>
              </w:r>
              <w:pPr>
                <w:jc w:val="left"/>
              </w:pPr>
            </w:p>
          </w:tc>
          <w:tc>
            <w:tcPr>
              <w:tcW w:type="auto"/>
            </w:tcPr>
            <w:p>
              <w:r>
                <w:rPr>
                  <w:sz w:val="24"/>
                </w:rPr>
                <w:t>0</w:t>
              </w:r>
              <w:pPr>
                <w:jc w:val="left"/>
              </w:pPr>
            </w:p>
          </w:tc>
          <w:tc>
            <w:tcPr>
              <w:tcW w:type="auto"/>
            </w:tcPr>
            <w:p>
              <w:r>
                <w:rPr>
                  <w:sz w:val="24"/>
                </w:rPr>
                <w:t/>
              </w:r>
              <w:pPr>
                <w:jc w:val="left"/>
              </w:pPr>
            </w:p>
          </w:tc>
          <w:tc>
            <w:tcPr>
              <w:tcW w:type="auto"/>
            </w:tcPr>
            <w:p>
              <w:r>
                <w:rPr>
                  <w:sz w:val="24"/>
                </w:rPr>
                <w:t/>
              </w:r>
              <w:pPr>
                <w:jc w:val="left"/>
              </w:pPr>
            </w:p>
          </w:tc>
        </w:tr>
        <w:tr>
          <w:tc>
            <w:tcPr>
              <w:tcW w:type="auto"/>
            </w:tcPr>
            <w:p>
              <w:r>
                <w:rPr>
                  <w:sz w:val="24"/>
                </w:rPr>
                <w:t/>
              </w:r>
              <w:pPr>
                <w:jc w:val="left"/>
              </w:pPr>
            </w:p>
          </w:tc>
          <w:tc>
            <w:tcPr>
              <w:tcW w:type="auto"/>
            </w:tcPr>
            <w:p>
              <w:r>
                <w:rPr>
                  <w:sz w:val="24"/>
                </w:rPr>
                <w:t>0</w:t>
              </w:r>
              <w:pPr>
                <w:jc w:val="left"/>
              </w:pPr>
            </w:p>
          </w:tc>
          <w:tc>
            <w:tcPr>
              <w:tcW w:type="auto"/>
            </w:tcPr>
            <w:p>
              <w:r>
                <w:rPr>
                  <w:sz w:val="24"/>
                </w:rPr>
                <w:t/>
              </w:r>
              <w:pPr>
                <w:jc w:val="left"/>
              </w:pPr>
            </w:p>
          </w:tc>
          <w:tc>
            <w:tcPr>
              <w:tcW w:type="auto"/>
            </w:tcPr>
            <w:p>
              <w:r>
                <w:rPr>
                  <w:sz w:val="24"/>
                </w:rPr>
                <w:t/>
              </w:r>
              <w:pPr>
                <w:jc w:val="left"/>
              </w:pPr>
            </w:p>
          </w:tc>
        </w:tr>
      </w:tbl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качество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качество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/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колличество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колличество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300г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Текст выполнения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                   На масляной бане в  2 л колбу , оборудованной механической мешалкой , термометром, системой для перегонки ( насадка Вюрца, холодильник Либиха, переходник " пустой аллонж) с приемной колбой 750 мл с выходом на склянку Тищенко с H2SO4, загружают 600 мл расплавленного до 40 град.С. сульфолан и 550 г свежепрокаленного KF при перемешивании. Суспензию нагревают до 210 град.С в кубе .  и порционного по 100 г( примерно), быстро, с интервалами по 10-15 мин. добавляют 600 г перхлорпиридина. После добавления второй порции наблюдается постепенная выгонка при 157 град.С в парах и выше дихлор трифторпиридина. пр добавлении каждой порции наблюдается повышение температуры в уюе на 5-7 град.С. После полного  добавления выжидают полной выгонки продукта. всего загружали 1800г перхлорпиридина. Получили 957г 97% по гх дихлор трифторпиридина. 
                Перекристализация ГЭГХ. В двухлитровую колбу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ocRId0" /><Relationship Type="http://schemas.openxmlformats.org/officeDocument/2006/relationships/styles" Target="/word/styles.xml" Id="docRId1" /></Relationships>
</file>