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к. Н. 0737 Перфторацетофенон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Аракся Месян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Эталонное вещество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98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