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Kajian</w:t>
      </w:r>
      <w:r>
        <w:t xml:space="preserve"> </w:t>
      </w:r>
      <w:r>
        <w:t xml:space="preserve">Teori</w:t>
      </w:r>
      <w:r>
        <w:t xml:space="preserve"> </w:t>
      </w:r>
      <w:r>
        <w:t xml:space="preserve">Variabel</w:t>
      </w:r>
      <w:r>
        <w:t xml:space="preserve"> </w:t>
      </w:r>
      <w:r>
        <w:t xml:space="preserve">Bebas</w:t>
      </w:r>
      <w:r>
        <w:t xml:space="preserve"> </w:t>
      </w:r>
      <w:r>
        <w:t xml:space="preserve">dan</w:t>
      </w:r>
      <w:r>
        <w:t xml:space="preserve"> </w:t>
      </w:r>
      <w:r>
        <w:t xml:space="preserve">Rancangan</w:t>
      </w:r>
      <w:r>
        <w:t xml:space="preserve"> </w:t>
      </w:r>
      <w:r>
        <w:t xml:space="preserve">Model</w:t>
      </w:r>
      <w:r>
        <w:t xml:space="preserve"> </w:t>
      </w:r>
      <w:r>
        <w:t xml:space="preserve">Pembelajaran</w:t>
      </w:r>
      <w:r>
        <w:t xml:space="preserve"> </w:t>
      </w:r>
      <w:r>
        <w:t xml:space="preserve">Hipotetik</w:t>
      </w:r>
    </w:p>
    <w:p>
      <w:pPr>
        <w:pStyle w:val="Subtitle"/>
      </w:pPr>
      <w:r>
        <w:t xml:space="preserve">Disertasi</w:t>
      </w:r>
      <w:r>
        <w:t xml:space="preserve"> </w:t>
      </w:r>
      <w:r>
        <w:t xml:space="preserve">3.0</w:t>
      </w:r>
      <w:r>
        <w:t xml:space="preserve"> </w:t>
      </w:r>
      <w:r>
        <w:t xml:space="preserve">—</w:t>
      </w:r>
      <w:r>
        <w:t xml:space="preserve"> </w:t>
      </w:r>
      <w:r>
        <w:t xml:space="preserve">bahan</w:t>
      </w:r>
      <w:r>
        <w:t xml:space="preserve"> </w:t>
      </w:r>
      <w:r>
        <w:t xml:space="preserve">berpikir</w:t>
      </w:r>
      <w:r>
        <w:t xml:space="preserve"> </w:t>
      </w:r>
      <w:r>
        <w:t xml:space="preserve">lanjutan</w:t>
      </w:r>
      <w:r>
        <w:t xml:space="preserve"> </w:t>
      </w:r>
      <w:r>
        <w:t xml:space="preserve">setelah</w:t>
      </w:r>
      <w:r>
        <w:t xml:space="preserve"> </w:t>
      </w:r>
      <w:r>
        <w:t xml:space="preserve">Latar</w:t>
      </w:r>
      <w:r>
        <w:t xml:space="preserve"> </w:t>
      </w:r>
      <w:r>
        <w:t xml:space="preserve">Belakang</w:t>
      </w:r>
    </w:p>
    <w:bookmarkStart w:id="29" w:name="X8c28c7db4cdb81b2115b02db6eff7bdcec7ef7f"/>
    <w:p>
      <w:pPr>
        <w:pStyle w:val="Heading1"/>
      </w:pPr>
      <w:r>
        <w:t xml:space="preserve">Bagian I. Peta Teori: dari Grand Theory ke Komponen Model</w:t>
      </w:r>
    </w:p>
    <w:p>
      <w:pPr>
        <w:pStyle w:val="FirstParagraph"/>
      </w:pPr>
      <w:r>
        <w:t xml:space="preserve">Disertasi pengembangan model pembelajaran biasanya disusun dalam tiga lapis teori. Lapis pertama adalah</w:t>
      </w:r>
      <w:r>
        <w:t xml:space="preserve"> </w:t>
      </w:r>
      <w:r>
        <w:rPr>
          <w:bCs/>
          <w:b/>
        </w:rPr>
        <w:t xml:space="preserve">teori besar (</w:t>
      </w:r>
      <w:r>
        <w:rPr>
          <w:iCs/>
          <w:i/>
          <w:bCs/>
          <w:b/>
        </w:rPr>
        <w:t xml:space="preserve">grand theory</w:t>
      </w:r>
      <w:r>
        <w:rPr>
          <w:bCs/>
          <w:b/>
        </w:rPr>
        <w:t xml:space="preserve">)</w:t>
      </w:r>
      <w:r>
        <w:t xml:space="preserve">, yaitu pandangan tentang bagaimana orang belajar. Lapis kedua adalah</w:t>
      </w:r>
      <w:r>
        <w:t xml:space="preserve"> </w:t>
      </w:r>
      <w:r>
        <w:rPr>
          <w:bCs/>
          <w:b/>
        </w:rPr>
        <w:t xml:space="preserve">teori menengah (</w:t>
      </w:r>
      <w:r>
        <w:rPr>
          <w:iCs/>
          <w:i/>
          <w:bCs/>
          <w:b/>
        </w:rPr>
        <w:t xml:space="preserve">middle-range theory</w:t>
      </w:r>
      <w:r>
        <w:rPr>
          <w:bCs/>
          <w:b/>
        </w:rPr>
        <w:t xml:space="preserve">)</w:t>
      </w:r>
      <w:r>
        <w:t xml:space="preserve">, yaitu teori tentang setiap komponen model. Lapis ketiga adalah</w:t>
      </w:r>
      <w:r>
        <w:t xml:space="preserve"> </w:t>
      </w:r>
      <w:r>
        <w:rPr>
          <w:bCs/>
          <w:b/>
        </w:rPr>
        <w:t xml:space="preserve">teori desain</w:t>
      </w:r>
      <w:r>
        <w:t xml:space="preserve">, yaitu teori tentang cara menyusun dan memvalidasi model. Dokumen ini mengikuti urutan tersebut.</w:t>
      </w:r>
    </w:p>
    <w:p>
      <w:pPr>
        <w:pStyle w:val="SourceCode"/>
      </w:pPr>
      <w:r>
        <w:rPr>
          <w:rStyle w:val="VerbatimChar"/>
        </w:rPr>
        <w:t xml:space="preserve">LAPIS 1  Grand theory       Konstruktivisme (Piaget) · Sosio-konstruktivisme &amp; ZPD (Vygotsky)</w:t>
      </w:r>
      <w:r>
        <w:br/>
      </w:r>
      <w:r>
        <w:rPr>
          <w:rStyle w:val="VerbatimChar"/>
        </w:rPr>
        <w:t xml:space="preserve">                            Konstruksionisme (Papert) · Kognisi terletak (Brown, Collins &amp; Duguid)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LAPIS 2  Payung praktik     NRC (2012): 8 praktik sains &amp; rekayasa</w:t>
      </w:r>
      <w:r>
        <w:br/>
      </w:r>
      <w:r>
        <w:rPr>
          <w:rStyle w:val="VerbatimChar"/>
        </w:rPr>
        <w:t xml:space="preserve">         ilmiah             → 4 di antaranya PERSIS komponen model kita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Teori komponen     PBL · Integrated STEM · Computational Modeling · Argumentation Scaffolding</w:t>
      </w:r>
      <w:r>
        <w:br/>
      </w:r>
      <w:r>
        <w:rPr>
          <w:rStyle w:val="VerbatimChar"/>
        </w:rPr>
        <w:t xml:space="preserve">                            + Teori penghubung: Model-Based Argumentation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LAPIS 3  Teori desain       Joyce, Weil &amp; Calhoun (komponen model) · EDR (McKenney &amp; Reeves;</w:t>
      </w:r>
      <w:r>
        <w:br/>
      </w:r>
      <w:r>
        <w:rPr>
          <w:rStyle w:val="VerbatimChar"/>
        </w:rPr>
        <w:t xml:space="preserve">                            Plomp &amp; Nieveen) · Conjecture Mapping (Sandoval)</w:t>
      </w:r>
    </w:p>
    <w:p>
      <w:pPr>
        <w:pStyle w:val="BlockText"/>
      </w:pPr>
      <w:r>
        <w:rPr>
          <w:bCs/>
          <w:b/>
        </w:rPr>
        <w:t xml:space="preserve">Tanda status rujukan.</w:t>
      </w:r>
      <w:r>
        <w:t xml:space="preserve"> </w:t>
      </w:r>
      <w:r>
        <w:t xml:space="preserve">✅ = diverifikasi melalui penelusuran web pada sesi ini. 📚 = karya klasik yang sangat sering dikutip; detail bibliografisnya ditulis dari pengetahuan umum, sehingga nomor halaman perlu dicek ulang sebelum masuk naskah.</w:t>
      </w:r>
    </w:p>
    <w:p>
      <w:r>
        <w:pict>
          <v:rect style="width:0;height:1.5pt" o:hralign="center" o:hrstd="t" o:hr="t"/>
        </w:pict>
      </w:r>
    </w:p>
    <w:bookmarkStart w:id="20" w:name="lapis-1-grand-theory"/>
    <w:p>
      <w:pPr>
        <w:pStyle w:val="Heading2"/>
      </w:pPr>
      <w:r>
        <w:t xml:space="preserve">1. Lapis 1 — Grand Theory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Tokoh dan rujukan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Sumbangannya bagi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Konstruktivisme kognitif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Piaget (asimilasi, akomodasi, ekuilibrasi) 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Konflik antara prediksi model dan data nyata memicu disekuilibrium yang mendorong revisi pemahaman. Ini dasar psikologis fase</w:t>
            </w:r>
            <w:r>
              <w:t xml:space="preserve"> </w:t>
            </w:r>
            <w:r>
              <w:rPr>
                <w:bCs/>
                <w:b/>
              </w:rPr>
              <w:t xml:space="preserve">kritik → revisi model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Sosio-konstruktivisme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Vygotsky (1978),</w:t>
            </w:r>
            <w:r>
              <w:t xml:space="preserve"> </w:t>
            </w:r>
            <w:r>
              <w:rPr>
                <w:iCs/>
                <w:i/>
              </w:rPr>
              <w:t xml:space="preserve">Mind in Society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Zone of Proximal Development</w:t>
            </w:r>
            <w:r>
              <w:t xml:space="preserve"> </w:t>
            </w:r>
            <w:r>
              <w:t xml:space="preserve">(ZPD) 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belum mampu menilai model secara mandiri. Bantuan terstruktur di ZPD menjadi dasar</w:t>
            </w:r>
            <w:r>
              <w:t xml:space="preserve"> </w:t>
            </w:r>
            <w:r>
              <w:rPr>
                <w:bCs/>
                <w:b/>
              </w:rPr>
              <w:t xml:space="preserve">scaffolding</w:t>
            </w:r>
            <w:r>
              <w:t xml:space="preserve"> </w:t>
            </w:r>
            <w:r>
              <w:t xml:space="preserve">argumentasi.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Wood, Bruner, &amp; Ross (1976) 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Enam fungsi scaffold, termasuk</w:t>
            </w:r>
            <w:r>
              <w:t xml:space="preserve"> </w:t>
            </w:r>
            <w:r>
              <w:rPr>
                <w:iCs/>
                <w:i/>
              </w:rPr>
              <w:t xml:space="preserve">reduction in degrees of freedom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iCs/>
                <w:i/>
              </w:rPr>
              <w:t xml:space="preserve">marking critical features</w:t>
            </w:r>
            <w:r>
              <w:t xml:space="preserve">, yang menjadi dasar desain prompt SAS dan pemudarannya (</w:t>
            </w:r>
            <w:r>
              <w:rPr>
                <w:iCs/>
                <w:i/>
              </w:rPr>
              <w:t xml:space="preserve">fading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Konstruksionisme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Papert (1980),</w:t>
            </w:r>
            <w:r>
              <w:t xml:space="preserve"> </w:t>
            </w:r>
            <w:r>
              <w:rPr>
                <w:iCs/>
                <w:i/>
              </w:rPr>
              <w:t xml:space="preserve">Mindstorms</w:t>
            </w:r>
            <w:r>
              <w:t xml:space="preserve"> </w:t>
            </w:r>
            <w:r>
              <w:t xml:space="preserve">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Belajar paling kuat terjadi saat membangun artefak yang dapat dijalankan, dibagikan, dan di-</w:t>
            </w:r>
            <w:r>
              <w:rPr>
                <w:iCs/>
                <w:i/>
              </w:rPr>
              <w:t xml:space="preserve">debug</w:t>
            </w:r>
            <w:r>
              <w:t xml:space="preserve">. Ini akar teoretis</w:t>
            </w:r>
            <w:r>
              <w:t xml:space="preserve"> </w:t>
            </w:r>
            <w:r>
              <w:rPr>
                <w:bCs/>
                <w:b/>
              </w:rPr>
              <w:t xml:space="preserve">CM → 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Kognisi terletak dan magang kognitif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Brown, Collins, &amp; Duguid (1989); Lave &amp; Wenger (1991); Collins, Brown, &amp; Newman (1989) 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Pengetahuan tumbuh dalam praktik autentik komunitasnya. Mahasiswa</w:t>
            </w:r>
            <w:r>
              <w:t xml:space="preserve"> </w:t>
            </w:r>
            <w:r>
              <w:t xml:space="preserve">“</w:t>
            </w:r>
            <w:r>
              <w:t xml:space="preserve">magang</w:t>
            </w:r>
            <w:r>
              <w:t xml:space="preserve">”</w:t>
            </w:r>
            <w:r>
              <w:t xml:space="preserve"> </w:t>
            </w:r>
            <w:r>
              <w:t xml:space="preserve">pada praktik ilmuwan kebumian: data, model, dan argumen. Dasar</w:t>
            </w:r>
            <w:r>
              <w:t xml:space="preserve"> </w:t>
            </w:r>
            <w:r>
              <w:rPr>
                <w:bCs/>
                <w:b/>
              </w:rPr>
              <w:t xml:space="preserve">masalah autentik sistem Bumi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Pengalaman dan inkuiri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Dewey (1938),</w:t>
            </w:r>
            <w:r>
              <w:t xml:space="preserve"> </w:t>
            </w:r>
            <w:r>
              <w:rPr>
                <w:iCs/>
                <w:i/>
              </w:rPr>
              <w:t xml:space="preserve">Experience and Education</w:t>
            </w:r>
            <w:r>
              <w:t xml:space="preserve"> </w:t>
            </w:r>
            <w:r>
              <w:t xml:space="preserve">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Masalah nyata sebagai titik awal berpikir reflektif. Akar filosofis</w:t>
            </w:r>
            <w:r>
              <w:t xml:space="preserve"> </w:t>
            </w:r>
            <w:r>
              <w:rPr>
                <w:bCs/>
                <w:b/>
              </w:rPr>
              <w:t xml:space="preserve">PBL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Debat teoretis yang wajib ditampilkan.</w:t>
      </w:r>
      <w:r>
        <w:t xml:space="preserve"> </w:t>
      </w:r>
      <w:r>
        <w:t xml:space="preserve">Kirschner, Sweller, &amp; Clark (2006) mengkritik pembelajaran minim bimbingan seperti PBL dan inkuiri karena membebani memori kerja (</w:t>
      </w:r>
      <w:r>
        <w:rPr>
          <w:iCs/>
          <w:i/>
        </w:rPr>
        <w:t xml:space="preserve">cognitive load theory</w:t>
      </w:r>
      <w:r>
        <w:t xml:space="preserve">). Hmelo-Silver, Duncan, &amp; Chinn (2007) membantah: PBL yang efektif justru</w:t>
      </w:r>
      <w:r>
        <w:t xml:space="preserve"> </w:t>
      </w:r>
      <w:r>
        <w:rPr>
          <w:bCs/>
          <w:b/>
        </w:rPr>
        <w:t xml:space="preserve">sangat ter-</w:t>
      </w:r>
      <w:r>
        <w:rPr>
          <w:iCs/>
          <w:i/>
          <w:bCs/>
          <w:b/>
        </w:rPr>
        <w:t xml:space="preserve">scaffold</w:t>
      </w:r>
      <w:r>
        <w:t xml:space="preserve">. 📚 Debat ini memberi</w:t>
      </w:r>
      <w:r>
        <w:t xml:space="preserve"> </w:t>
      </w:r>
      <w:r>
        <w:rPr>
          <w:bCs/>
          <w:b/>
        </w:rPr>
        <w:t xml:space="preserve">justifikasi teoretis paling kuat</w:t>
      </w:r>
      <w:r>
        <w:t xml:space="preserve"> </w:t>
      </w:r>
      <w:r>
        <w:t xml:space="preserve">mengapa SAS diperlukan: masalah sistem Bumi yang</w:t>
      </w:r>
      <w:r>
        <w:t xml:space="preserve"> </w:t>
      </w:r>
      <w:r>
        <w:rPr>
          <w:iCs/>
          <w:i/>
        </w:rPr>
        <w:t xml:space="preserve">ill-structured</w:t>
      </w:r>
      <w:r>
        <w:t xml:space="preserve"> </w:t>
      </w:r>
      <w:r>
        <w:t xml:space="preserve">dan pemodelan komputasional berisiko membebani mahasiswa, sehingga argumentasi harus ter-</w:t>
      </w:r>
      <w:r>
        <w:rPr>
          <w:iCs/>
          <w:i/>
        </w:rPr>
        <w:t xml:space="preserve">scaffold</w:t>
      </w:r>
      <w:r>
        <w:t xml:space="preserve">. Temuan Wang dkk. (2025) bahwa argumentation scaffolding</w:t>
      </w:r>
      <w:r>
        <w:t xml:space="preserve"> </w:t>
      </w:r>
      <w:r>
        <w:rPr>
          <w:bCs/>
          <w:b/>
        </w:rPr>
        <w:t xml:space="preserve">menurunkan cognitive load</w:t>
      </w:r>
      <w:r>
        <w:t xml:space="preserve"> </w:t>
      </w:r>
      <w:r>
        <w:t xml:space="preserve">sekaligus meningkatkan CT ✅ sejalan langsung dengan argumen ini.</w:t>
      </w:r>
    </w:p>
    <w:bookmarkEnd w:id="20"/>
    <w:bookmarkStart w:id="21" w:name="lapis-2a-payung-praktik-ilmiah-nrc-2012"/>
    <w:p>
      <w:pPr>
        <w:pStyle w:val="Heading2"/>
      </w:pPr>
      <w:r>
        <w:t xml:space="preserve">2. Lapis 2a — Payung Praktik Ilmiah: NRC (2012)</w:t>
      </w:r>
    </w:p>
    <w:p>
      <w:pPr>
        <w:pStyle w:val="FirstParagraph"/>
      </w:pPr>
      <w:r>
        <w:rPr>
          <w:iCs/>
          <w:i/>
        </w:rPr>
        <w:t xml:space="preserve">A Framework for K-12 Science Education</w:t>
      </w:r>
      <w:r>
        <w:t xml:space="preserve"> </w:t>
      </w:r>
      <w:r>
        <w:t xml:space="preserve">(National Research Council, 2012) 📚, yang menjadi dasar NGSS, merumuskan</w:t>
      </w:r>
      <w:r>
        <w:t xml:space="preserve"> </w:t>
      </w:r>
      <w:r>
        <w:rPr>
          <w:bCs/>
          <w:b/>
        </w:rPr>
        <w:t xml:space="preserve">delapan praktik sains dan rekayasa</w:t>
      </w:r>
      <w:r>
        <w:t xml:space="preserve">. Empat di antaranya memetakan komponen model kita satu per satu: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Praktik NRC (2012)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iCs/>
                <w:i/>
              </w:rPr>
              <w:t xml:space="preserve">Asking questions and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defining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PBL +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Developing and using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</w:t>
            </w:r>
            <w:r>
              <w:t xml:space="preserve"> </w:t>
            </w:r>
            <w:r>
              <w:rPr>
                <w:iCs/>
                <w:i/>
              </w:rPr>
              <w:t xml:space="preserve">Using mathematics and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computational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(outcome)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</w:t>
            </w:r>
            <w:r>
              <w:t xml:space="preserve"> </w:t>
            </w:r>
            <w:r>
              <w:rPr>
                <w:iCs/>
                <w:i/>
              </w:rPr>
              <w:t xml:space="preserve">Constructing explanations and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designing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design (STEM)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Engaging in argument from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Argumentation Scaffolding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Arti penting:</w:t>
      </w:r>
      <w:r>
        <w:t xml:space="preserve"> </w:t>
      </w:r>
      <w:r>
        <w:t xml:space="preserve">model kita tidak</w:t>
      </w:r>
      <w:r>
        <w:t xml:space="preserve"> </w:t>
      </w:r>
      <w:r>
        <w:t xml:space="preserve">“</w:t>
      </w:r>
      <w:r>
        <w:t xml:space="preserve">menggabungkan empat hal yang berbeda</w:t>
      </w:r>
      <w:r>
        <w:t xml:space="preserve">”</w:t>
      </w:r>
      <w:r>
        <w:t xml:space="preserve">. Model ini mengoperasionalkan</w:t>
      </w:r>
      <w:r>
        <w:t xml:space="preserve"> </w:t>
      </w:r>
      <w:r>
        <w:rPr>
          <w:bCs/>
          <w:b/>
        </w:rPr>
        <w:t xml:space="preserve">satu kesatuan praktik ilmiah</w:t>
      </w:r>
      <w:r>
        <w:t xml:space="preserve"> </w:t>
      </w:r>
      <w:r>
        <w:t xml:space="preserve">yang oleh NRC (2012) memang dipandang saling terkait. Kalimat ini sangat berguna untuk menjawab kritik</w:t>
      </w:r>
      <w:r>
        <w:t xml:space="preserve"> </w:t>
      </w:r>
      <w:r>
        <w:t xml:space="preserve">“</w:t>
      </w:r>
      <w:r>
        <w:t xml:space="preserve">kopi + susu</w:t>
      </w:r>
      <w:r>
        <w:t xml:space="preserve">”</w:t>
      </w:r>
      <w:r>
        <w:t xml:space="preserve"> </w:t>
      </w:r>
      <w:r>
        <w:t xml:space="preserve">dari promotor. Osborne (2014) 📚 juga menegaskan bahwa praktik-praktik ini harus diajarkan secara terhubung, bukan terpisah.</w:t>
      </w:r>
    </w:p>
    <w:p>
      <w:r>
        <w:pict>
          <v:rect style="width:0;height:1.5pt" o:hralign="center" o:hrstd="t" o:hr="t"/>
        </w:pict>
      </w:r>
    </w:p>
    <w:bookmarkEnd w:id="21"/>
    <w:bookmarkStart w:id="28" w:name="lapis-2b-teori-dasar-tiap-variabel-bebas"/>
    <w:p>
      <w:pPr>
        <w:pStyle w:val="Heading2"/>
      </w:pPr>
      <w:r>
        <w:t xml:space="preserve">3. Lapis 2b — Teori Dasar Tiap Variabel Bebas</w:t>
      </w:r>
    </w:p>
    <w:bookmarkStart w:id="22" w:name="problem-based-learning-pbl"/>
    <w:p>
      <w:pPr>
        <w:pStyle w:val="Heading3"/>
      </w:pPr>
      <w:r>
        <w:t xml:space="preserve">3.1 Problem-Based Learning (PBL)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pokok yang dikutip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Barrows &amp; Tamblyn (1980),</w:t>
            </w:r>
            <w:r>
              <w:t xml:space="preserve"> </w:t>
            </w:r>
            <w:r>
              <w:rPr>
                <w:iCs/>
                <w:i/>
              </w:rPr>
              <w:t xml:space="preserve">Problem-Based Learning: An Approach to Medical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Karya pendiri PBL (McMaster University)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Barrows (1986),</w:t>
            </w:r>
            <w:r>
              <w:t xml:space="preserve"> </w:t>
            </w:r>
            <w:r>
              <w:t xml:space="preserve">“</w:t>
            </w:r>
            <w:r>
              <w:t xml:space="preserve">A taxonomy of problem-based learning methods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Medical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Taksonomi PBL; kriteria masalah autentik dan</w:t>
            </w:r>
            <w:r>
              <w:t xml:space="preserve"> </w:t>
            </w:r>
            <w:r>
              <w:rPr>
                <w:iCs/>
                <w:i/>
              </w:rPr>
              <w:t xml:space="preserve">ill-structured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Schmidt (1983),</w:t>
            </w:r>
            <w:r>
              <w:t xml:space="preserve"> </w:t>
            </w:r>
            <w:r>
              <w:t xml:space="preserve">“</w:t>
            </w:r>
            <w:r>
              <w:t xml:space="preserve">Problem-based learning: Rationale and description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Medical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Rasional kognitif: aktivasi pengetahuan awal dan elaborasi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Jonassen (2000),</w:t>
            </w:r>
            <w:r>
              <w:t xml:space="preserve"> </w:t>
            </w:r>
            <w:r>
              <w:t xml:space="preserve">“</w:t>
            </w:r>
            <w:r>
              <w:t xml:space="preserve">Toward a design theory of problem solving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ETR&amp;D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Tipologi masalah:</w:t>
            </w:r>
            <w:r>
              <w:t xml:space="preserve"> </w:t>
            </w:r>
            <w:r>
              <w:rPr>
                <w:iCs/>
                <w:i/>
              </w:rPr>
              <w:t xml:space="preserve">well-structured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iCs/>
                <w:i/>
              </w:rPr>
              <w:t xml:space="preserve">ill-structured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masalah desain</w:t>
            </w:r>
            <w:r>
              <w:t xml:space="preserve"> </w:t>
            </w:r>
            <w:r>
              <w:t xml:space="preserve">paling</w:t>
            </w:r>
            <w:r>
              <w:t xml:space="preserve"> </w:t>
            </w:r>
            <w:r>
              <w:rPr>
                <w:iCs/>
                <w:i/>
              </w:rPr>
              <w:t xml:space="preserve">ill-structured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Hmelo-Silver (2004),</w:t>
            </w:r>
            <w:r>
              <w:t xml:space="preserve"> </w:t>
            </w:r>
            <w:r>
              <w:rPr>
                <w:iCs/>
                <w:i/>
              </w:rPr>
              <w:t xml:space="preserve">Educational Psychology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Tujuan PBL: pengetahuan fleksibel, pemecahan masalah, belajar mandiri, kolaborasi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Savery (2006),</w:t>
            </w:r>
            <w:r>
              <w:t xml:space="preserve"> </w:t>
            </w:r>
            <w:r>
              <w:rPr>
                <w:iCs/>
                <w:i/>
              </w:rPr>
              <w:t xml:space="preserve">Interdisciplinary Journal of PBL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Karakteristik esensial PBL; pembeda dari</w:t>
            </w:r>
            <w:r>
              <w:t xml:space="preserve"> </w:t>
            </w:r>
            <w:r>
              <w:rPr>
                <w:iCs/>
                <w:i/>
              </w:rPr>
              <w:t xml:space="preserve">case-based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iCs/>
                <w:i/>
              </w:rPr>
              <w:t xml:space="preserve">project-based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Arends (2012),</w:t>
            </w:r>
            <w:r>
              <w:t xml:space="preserve"> </w:t>
            </w:r>
            <w:r>
              <w:rPr>
                <w:iCs/>
                <w:i/>
              </w:rPr>
              <w:t xml:space="preserve">Learning to Teach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Sintaks 5 fase</w:t>
            </w:r>
            <w:r>
              <w:t xml:space="preserve"> </w:t>
            </w:r>
            <w:r>
              <w:t xml:space="preserve">yang paling banyak dipakai di Indonesia: orientasi masalah → organisasi belajar → investigasi → mengembangkan dan menyajikan karya → analisis dan evaluasi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Dochy dkk. (2003), meta-analisis,</w:t>
            </w:r>
            <w:r>
              <w:t xml:space="preserve"> </w:t>
            </w:r>
            <w:r>
              <w:rPr>
                <w:iCs/>
                <w:i/>
              </w:rPr>
              <w:t xml:space="preserve">Learning and Instruction</w:t>
            </w:r>
            <w:r>
              <w:t xml:space="preserve">; Strobel &amp; van Barneveld (2009),</w:t>
            </w:r>
            <w:r>
              <w:t xml:space="preserve"> </w:t>
            </w:r>
            <w:r>
              <w:rPr>
                <w:iCs/>
                <w:i/>
              </w:rPr>
              <w:t xml:space="preserve">IJPBL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efektivitas, terutama pada keterampilan dan retensi jangka panjang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</w:tbl>
    <w:p>
      <w:pPr>
        <w:pStyle w:val="BodyText"/>
      </w:pPr>
      <w:r>
        <w:rPr>
          <w:bCs/>
          <w:b/>
        </w:rPr>
        <w:t xml:space="preserve">Kedudukan dalam model:</w:t>
      </w:r>
      <w:r>
        <w:t xml:space="preserve"> </w:t>
      </w:r>
      <w:r>
        <w:rPr>
          <w:iCs/>
          <w:i/>
        </w:rPr>
        <w:t xml:space="preserve">pedagogical backbone</w:t>
      </w:r>
      <w:r>
        <w:t xml:space="preserve"> </w:t>
      </w:r>
      <w:r>
        <w:t xml:space="preserve">yang menjawab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masalah apa yang harus diselesaikan?</w:t>
      </w:r>
      <w:r>
        <w:rPr>
          <w:bCs/>
          <w:b/>
        </w:rPr>
        <w:t xml:space="preserve">”</w:t>
      </w:r>
      <w:r>
        <w:t xml:space="preserve"> </w:t>
      </w:r>
      <w:r>
        <w:t xml:space="preserve">Sintaks Arends menjadi kerangka urutan model.</w:t>
      </w:r>
    </w:p>
    <w:bookmarkEnd w:id="22"/>
    <w:bookmarkStart w:id="23" w:name="integrated-stem-dan-engineering-design"/>
    <w:p>
      <w:pPr>
        <w:pStyle w:val="Heading3"/>
      </w:pPr>
      <w:r>
        <w:t xml:space="preserve">3.2 Integrated STEM dan Engineering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pokok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NAE &amp; NRC (2014),</w:t>
            </w:r>
            <w:r>
              <w:t xml:space="preserve"> </w:t>
            </w:r>
            <w:r>
              <w:rPr>
                <w:iCs/>
                <w:i/>
              </w:rPr>
              <w:t xml:space="preserve">STEM Integration in K-12 Education</w:t>
            </w:r>
            <w:r>
              <w:t xml:space="preserve"> </w:t>
            </w:r>
            <w:r>
              <w:t xml:space="preserve">(Honey, Pearson, &amp; Schweingruber, Eds.)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Rujukan resmi paling otoritatif tentang integrasi STEM: tujuan, hasil, dan sifat integrasi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Bybee (2013),</w:t>
            </w:r>
            <w:r>
              <w:t xml:space="preserve"> </w:t>
            </w:r>
            <w:r>
              <w:rPr>
                <w:iCs/>
                <w:i/>
              </w:rPr>
              <w:t xml:space="preserve">The Case for STEM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Rasional dan bentuk-bentuk integrasi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Vasquez, Sneider, &amp; Comer (2013),</w:t>
            </w:r>
            <w:r>
              <w:t xml:space="preserve"> </w:t>
            </w:r>
            <w:r>
              <w:rPr>
                <w:iCs/>
                <w:i/>
              </w:rPr>
              <w:t xml:space="preserve">STEM Lesson Essentials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Tingkat integrasi</w:t>
            </w:r>
            <w:r>
              <w:t xml:space="preserve">: disipliner → multidisipliner →</w:t>
            </w:r>
            <w:r>
              <w:t xml:space="preserve"> </w:t>
            </w:r>
            <w:r>
              <w:rPr>
                <w:bCs/>
                <w:b/>
              </w:rPr>
              <w:t xml:space="preserve">interdisipliner</w:t>
            </w:r>
            <w:r>
              <w:t xml:space="preserve"> </w:t>
            </w:r>
            <w:r>
              <w:t xml:space="preserve">→ transdisipliner. Model kita menargetkan level interdisipliner.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Moore dkk. (2014),</w:t>
            </w:r>
            <w:r>
              <w:t xml:space="preserve"> </w:t>
            </w:r>
            <w:r>
              <w:rPr>
                <w:iCs/>
                <w:i/>
              </w:rPr>
              <w:t xml:space="preserve">Journal of Pre-College Engineering Education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kualitas pendidikan rekayasa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Kelley &amp; Knowles (2016),</w:t>
            </w:r>
            <w:r>
              <w:t xml:space="preserve"> </w:t>
            </w:r>
            <w:r>
              <w:rPr>
                <w:iCs/>
                <w:i/>
              </w:rPr>
              <w:t xml:space="preserve">IJ STEM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konseptual integrated STEM;</w:t>
            </w:r>
            <w:r>
              <w:t xml:space="preserve"> </w:t>
            </w:r>
            <w:r>
              <w:rPr>
                <w:iCs/>
                <w:i/>
              </w:rPr>
              <w:t xml:space="preserve">engineering design</w:t>
            </w:r>
            <w:r>
              <w:t xml:space="preserve"> </w:t>
            </w:r>
            <w:r>
              <w:t xml:space="preserve">sebagai perekat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 (2016),</w:t>
            </w:r>
            <w:r>
              <w:t xml:space="preserve"> </w:t>
            </w:r>
            <w:r>
              <w:rPr>
                <w:iCs/>
                <w:i/>
              </w:rPr>
              <w:t xml:space="preserve">IJ STEM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Perspektif tentang integrasi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Roehrig dkk. (2021),</w:t>
            </w:r>
            <w:r>
              <w:t xml:space="preserve"> </w:t>
            </w:r>
            <w:r>
              <w:rPr>
                <w:iCs/>
                <w:i/>
              </w:rPr>
              <w:t xml:space="preserve">DISER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Tujuh karakteristik integrated STEM:</w:t>
            </w:r>
            <w:r>
              <w:t xml:space="preserve"> </w:t>
            </w:r>
            <w:r>
              <w:rPr>
                <w:bCs/>
                <w:b/>
              </w:rPr>
              <w:t xml:space="preserve">masalah autentik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sentralitas engineering design</w:t>
            </w:r>
            <w:r>
              <w:t xml:space="preserve">, dan lain-lain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Dym dkk. (2005),</w:t>
            </w:r>
            <w:r>
              <w:t xml:space="preserve"> </w:t>
            </w:r>
            <w:r>
              <w:rPr>
                <w:iCs/>
                <w:i/>
              </w:rPr>
              <w:t xml:space="preserve">Journal of Engineering Education</w:t>
            </w:r>
            <w:r>
              <w:t xml:space="preserve">; Crismond &amp; Adams (2012),</w:t>
            </w:r>
            <w:r>
              <w:t xml:space="preserve"> </w:t>
            </w:r>
            <w:r>
              <w:rPr>
                <w:iCs/>
                <w:i/>
              </w:rPr>
              <w:t xml:space="preserve">JEE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</w:t>
            </w:r>
            <w:r>
              <w:t xml:space="preserve"> </w:t>
            </w:r>
            <w:r>
              <w:rPr>
                <w:iCs/>
                <w:i/>
              </w:rPr>
              <w:t xml:space="preserve">engineering design thinking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Informed Design Teaching and Learning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</w:tbl>
    <w:p>
      <w:pPr>
        <w:pStyle w:val="BodyText"/>
      </w:pPr>
      <w:r>
        <w:rPr>
          <w:bCs/>
          <w:b/>
        </w:rPr>
        <w:t xml:space="preserve">Kedudukan dalam model:</w:t>
      </w:r>
      <w:r>
        <w:t xml:space="preserve"> </w:t>
      </w:r>
      <w:r>
        <w:t xml:space="preserve">kerangka integrasi yang menjawab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disiplin apa yang harus diintegrasikan, dan bagaimana solusi dirancang?</w:t>
      </w:r>
      <w:r>
        <w:rPr>
          <w:bCs/>
          <w:b/>
        </w:rPr>
        <w:t xml:space="preserve">”</w:t>
      </w:r>
      <w:r>
        <w:t xml:space="preserve"> </w:t>
      </w:r>
      <w:r>
        <w:t xml:space="preserve">Siklus</w:t>
      </w:r>
      <w:r>
        <w:t xml:space="preserve"> </w:t>
      </w:r>
      <w:r>
        <w:rPr>
          <w:iCs/>
          <w:i/>
        </w:rPr>
        <w:t xml:space="preserve">define → develop → test → evaluate → redesign</w:t>
      </w:r>
      <w:r>
        <w:t xml:space="preserve"> </w:t>
      </w:r>
      <w:r>
        <w:t xml:space="preserve">bertemu langsung dengan siklus pemodelan.</w:t>
      </w:r>
    </w:p>
    <w:bookmarkEnd w:id="23"/>
    <w:bookmarkStart w:id="24" w:name="computational-modeling-cm"/>
    <w:p>
      <w:pPr>
        <w:pStyle w:val="Heading3"/>
      </w:pPr>
      <w:r>
        <w:t xml:space="preserve">3.3 Computational Modeling (CM)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pokok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Hestenes (1987)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Toward a modeling theory of physics instruction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AJP</w:t>
            </w:r>
            <w:r>
              <w:t xml:space="preserve">, 55(5), 440–454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Teori fondasi pemodelan dalam pendidikan fisika</w:t>
            </w:r>
            <w:r>
              <w:t xml:space="preserve">: pemodelan matematis dunia fisik harus menjadi tema sentral pengajaran fisika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Halloun &amp; Hestenes (1987); Wells, Hestenes, &amp; Swackhamer (1995),</w:t>
            </w:r>
            <w:r>
              <w:t xml:space="preserve"> </w:t>
            </w:r>
            <w:r>
              <w:rPr>
                <w:iCs/>
                <w:i/>
              </w:rPr>
              <w:t xml:space="preserve">AJP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Modeling Instruction</w:t>
            </w:r>
            <w:r>
              <w:t xml:space="preserve">: siklus</w:t>
            </w:r>
            <w:r>
              <w:t xml:space="preserve"> </w:t>
            </w:r>
            <w:r>
              <w:rPr>
                <w:bCs/>
                <w:b/>
              </w:rPr>
              <w:t xml:space="preserve">pengembangan model → penerapan (</w:t>
            </w:r>
            <w:r>
              <w:rPr>
                <w:iCs/>
                <w:i/>
                <w:bCs/>
                <w:b/>
              </w:rPr>
              <w:t xml:space="preserve">deployment</w:t>
            </w:r>
            <w:r>
              <w:rPr>
                <w:bCs/>
                <w:b/>
              </w:rPr>
              <w:t xml:space="preserve">)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Gilbert (2004),</w:t>
            </w:r>
            <w:r>
              <w:t xml:space="preserve"> </w:t>
            </w:r>
            <w:r>
              <w:rPr>
                <w:iCs/>
                <w:i/>
              </w:rPr>
              <w:t xml:space="preserve">IJSME</w:t>
            </w:r>
            <w:r>
              <w:t xml:space="preserve">; Gilbert &amp; Justi (2016),</w:t>
            </w:r>
            <w:r>
              <w:t xml:space="preserve"> </w:t>
            </w:r>
            <w:r>
              <w:rPr>
                <w:iCs/>
                <w:i/>
              </w:rPr>
              <w:t xml:space="preserve">Modelling-based Teaching in Science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Pemodelan sebagai jalan menuju sains yang lebih autentik; diagram</w:t>
            </w:r>
            <w:r>
              <w:t xml:space="preserve"> </w:t>
            </w:r>
            <w:r>
              <w:rPr>
                <w:iCs/>
                <w:i/>
              </w:rPr>
              <w:t xml:space="preserve">Model of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Schwarz dkk. (2009),</w:t>
            </w:r>
            <w:r>
              <w:t xml:space="preserve"> </w:t>
            </w:r>
            <w:r>
              <w:rPr>
                <w:iCs/>
                <w:i/>
              </w:rPr>
              <w:t xml:space="preserve">JRST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Learning progression</w:t>
            </w:r>
            <w:r>
              <w:t xml:space="preserve"> </w:t>
            </w:r>
            <w:r>
              <w:t xml:space="preserve">pemodelan:</w:t>
            </w:r>
            <w:r>
              <w:t xml:space="preserve"> </w:t>
            </w:r>
            <w:r>
              <w:rPr>
                <w:bCs/>
                <w:b/>
              </w:rPr>
              <w:t xml:space="preserve">membangun → menggunakan → mengevaluasi → merevisi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Louca &amp; Zacharia (2012),</w:t>
            </w:r>
            <w:r>
              <w:t xml:space="preserve"> </w:t>
            </w:r>
            <w:r>
              <w:rPr>
                <w:iCs/>
                <w:i/>
              </w:rPr>
              <w:t xml:space="preserve">Educational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Kontribusi</w:t>
            </w:r>
            <w:r>
              <w:t xml:space="preserve"> </w:t>
            </w:r>
            <w:r>
              <w:rPr>
                <w:iCs/>
                <w:i/>
              </w:rPr>
              <w:t xml:space="preserve">modeling-based learning</w:t>
            </w:r>
            <w:r>
              <w:t xml:space="preserve"> </w:t>
            </w:r>
            <w:r>
              <w:t xml:space="preserve">pada aspek kognitif, metakognitif, sosial, material, dan epistemologis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Upmeier zu Belzen, Krüger, &amp; van Driel (Eds.) (2019)</w:t>
            </w:r>
            <w:r>
              <w:t xml:space="preserve">, 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kompetensi model: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nature, multiple, purpose, testing, changing</w:t>
            </w:r>
            <w:r>
              <w:t xml:space="preserve"> </w:t>
            </w:r>
            <w:r>
              <w:t xml:space="preserve">(asal-usul FCMC yang muncul di chat sebelumnya)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Wilensky &amp; Resnick (1999),</w:t>
            </w:r>
            <w:r>
              <w:t xml:space="preserve"> </w:t>
            </w:r>
            <w:r>
              <w:rPr>
                <w:iCs/>
                <w:i/>
              </w:rPr>
              <w:t xml:space="preserve">JSET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Berpikir sistem kompleks melalui model berbasis agen (</w:t>
            </w:r>
            <w:r>
              <w:rPr>
                <w:iCs/>
                <w:i/>
              </w:rPr>
              <w:t xml:space="preserve">thinking in levels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Chabay &amp; Sherwood (2008),</w:t>
            </w:r>
            <w:r>
              <w:t xml:space="preserve"> </w:t>
            </w:r>
            <w:r>
              <w:rPr>
                <w:iCs/>
                <w:i/>
              </w:rPr>
              <w:t xml:space="preserve">AJP</w:t>
            </w:r>
            <w:r>
              <w:t xml:space="preserve">; Caballero, Kohlmyer, &amp; Schatz (2012),</w:t>
            </w:r>
            <w:r>
              <w:t xml:space="preserve"> </w:t>
            </w:r>
            <w:r>
              <w:rPr>
                <w:iCs/>
                <w:i/>
              </w:rPr>
              <w:t xml:space="preserve">PRST-PER</w:t>
            </w:r>
            <w:r>
              <w:t xml:space="preserve">, 8, 020106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dalam perkuliahan fisika (VPython): 1.357 mahasiswa; 60,4% berhasil pada evaluasi; kesalahan terkonsentrasi pada pola tertentu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/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Sengupta dkk. (2013); Weintrop dkk. (2016); Hutchins dkk.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 CT dan sains melalui pemodelan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Kedudukan dalam model:</w:t>
      </w:r>
      <w:r>
        <w:t xml:space="preserve"> </w:t>
      </w:r>
      <w:r>
        <w:t xml:space="preserve">praktik ilmiah-komputasional yang menjawab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bagaimana sistem kompleks direpresentasikan, disimulasikan, diuji, dan direvisi?</w:t>
      </w:r>
      <w:r>
        <w:rPr>
          <w:bCs/>
          <w:b/>
        </w:rPr>
        <w:t xml:space="preserve">”</w:t>
      </w:r>
      <w:r>
        <w:t xml:space="preserve"> </w:t>
      </w:r>
      <w:r>
        <w:t xml:space="preserve">Siklus Schwarz dkk. (2009) dan Hestenes menjadi sumber fase konstruksi–simulasi–revisi.</w:t>
      </w:r>
    </w:p>
    <w:bookmarkEnd w:id="24"/>
    <w:bookmarkStart w:id="25" w:name="scientific-argumentation-scaffolding-sas"/>
    <w:p>
      <w:pPr>
        <w:pStyle w:val="Heading3"/>
      </w:pPr>
      <w:r>
        <w:t xml:space="preserve">3.4 Scientific Argumentation Scaffolding (SAS)</w:t>
      </w:r>
    </w:p>
    <w:p>
      <w:pPr>
        <w:pStyle w:val="FirstParagraph"/>
      </w:pPr>
      <w:r>
        <w:rPr>
          <w:bCs/>
          <w:b/>
        </w:rPr>
        <w:t xml:space="preserve">a. Teori argumentasi ilmiah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pokok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Toulmin (1958/2003),</w:t>
            </w:r>
            <w:r>
              <w:t xml:space="preserve"> </w:t>
            </w:r>
            <w:r>
              <w:rPr>
                <w:iCs/>
                <w:i/>
              </w:rPr>
              <w:t xml:space="preserve">The Uses of Argument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Toulmin Argument Pattern</w:t>
            </w:r>
            <w:r>
              <w:t xml:space="preserve"> </w:t>
            </w:r>
            <w:r>
              <w:t xml:space="preserve">(TAP): claim, data, warrant, backing, qualifier, rebuttal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Kuhn (1993),</w:t>
            </w:r>
            <w:r>
              <w:t xml:space="preserve"> </w:t>
            </w:r>
            <w:r>
              <w:t xml:space="preserve">“</w:t>
            </w:r>
            <w:r>
              <w:t xml:space="preserve">Science as argument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Science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Berpikir ilmiah sebagai argumentasi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Driver, Newton, &amp; Osborne (2000),</w:t>
            </w:r>
            <w:r>
              <w:t xml:space="preserve"> </w:t>
            </w:r>
            <w:r>
              <w:rPr>
                <w:iCs/>
                <w:i/>
              </w:rPr>
              <w:t xml:space="preserve">Science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argumentasi ilmiah di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Osborne, Erduran, &amp; Simon (2004),</w:t>
            </w:r>
            <w:r>
              <w:t xml:space="preserve"> </w:t>
            </w:r>
            <w:r>
              <w:rPr>
                <w:iCs/>
                <w:i/>
              </w:rPr>
              <w:t xml:space="preserve">JRST</w:t>
            </w:r>
            <w:r>
              <w:t xml:space="preserve">; Erduran, Simon, &amp; Osborne (2004),</w:t>
            </w:r>
            <w:r>
              <w:t xml:space="preserve"> </w:t>
            </w:r>
            <w:r>
              <w:rPr>
                <w:iCs/>
                <w:i/>
              </w:rPr>
              <w:t xml:space="preserve">Science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kualitas argumen berdasarkan kehadiran</w:t>
            </w:r>
            <w:r>
              <w:t xml:space="preserve"> </w:t>
            </w:r>
            <w:r>
              <w:rPr>
                <w:bCs/>
                <w:b/>
              </w:rPr>
              <w:t xml:space="preserve">rebuttal</w:t>
            </w:r>
            <w:r>
              <w:t xml:space="preserve">; metode analisis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McNeill dkk. (2006),</w:t>
            </w:r>
            <w:r>
              <w:t xml:space="preserve"> </w:t>
            </w:r>
            <w:r>
              <w:rPr>
                <w:iCs/>
                <w:i/>
              </w:rPr>
              <w:t xml:space="preserve">JLS</w:t>
            </w:r>
            <w:r>
              <w:t xml:space="preserve">; McNeill &amp; Krajcik (2012)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</w:t>
            </w:r>
            <w:r>
              <w:t xml:space="preserve"> </w:t>
            </w:r>
            <w:r>
              <w:rPr>
                <w:bCs/>
                <w:b/>
              </w:rPr>
              <w:t xml:space="preserve">CER</w:t>
            </w:r>
            <w:r>
              <w:t xml:space="preserve"> </w:t>
            </w:r>
            <w:r>
              <w:t xml:space="preserve">dan scaffold yang dipudarkan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Berland &amp; Reiser (2009),</w:t>
            </w:r>
            <w:r>
              <w:t xml:space="preserve"> </w:t>
            </w:r>
            <w:r>
              <w:rPr>
                <w:iCs/>
                <w:i/>
              </w:rPr>
              <w:t xml:space="preserve">Science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Tiga tujuan argumentasi:</w:t>
            </w:r>
            <w:r>
              <w:t xml:space="preserve"> </w:t>
            </w:r>
            <w:r>
              <w:rPr>
                <w:iCs/>
                <w:i/>
              </w:rPr>
              <w:t xml:space="preserve">sense-making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articulating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persuading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Sampson, Grooms, &amp; Walker (2011),</w:t>
            </w:r>
            <w:r>
              <w:t xml:space="preserve"> </w:t>
            </w:r>
            <w:r>
              <w:rPr>
                <w:iCs/>
                <w:i/>
              </w:rPr>
              <w:t xml:space="preserve">Science Education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Argument-Driven Inquiry</w:t>
            </w:r>
            <w:r>
              <w:t xml:space="preserve"> </w:t>
            </w:r>
            <w:r>
              <w:t xml:space="preserve">(ADI), 8 tahap; contoh model pembelajaran berbasis argumentasi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(cek detail)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Teori scaffolding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pokok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Wood, Bruner, &amp; Ross (1976)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 dan fungsi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Reiser (2004),</w:t>
            </w:r>
            <w:r>
              <w:t xml:space="preserve"> </w:t>
            </w:r>
            <w:r>
              <w:rPr>
                <w:iCs/>
                <w:i/>
              </w:rPr>
              <w:t xml:space="preserve">JLS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 mekanisme scaffold: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structuring</w:t>
            </w:r>
            <w:r>
              <w:t xml:space="preserve"> </w:t>
            </w:r>
            <w:r>
              <w:t xml:space="preserve">(menyederhanakan tugas) dan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problematizing</w:t>
            </w:r>
            <w:r>
              <w:t xml:space="preserve"> </w:t>
            </w:r>
            <w:r>
              <w:t xml:space="preserve">(memaksa memikirkan hal penting)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Quintana dkk. (2004),</w:t>
            </w:r>
            <w:r>
              <w:t xml:space="preserve"> </w:t>
            </w:r>
            <w:r>
              <w:rPr>
                <w:iCs/>
                <w:i/>
              </w:rPr>
              <w:t xml:space="preserve">JLS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desain scaffold untuk inkuiri sains berbasis perangkat lunak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Belland (2017),</w:t>
            </w:r>
            <w:r>
              <w:t xml:space="preserve"> </w:t>
            </w:r>
            <w:r>
              <w:rPr>
                <w:iCs/>
                <w:i/>
              </w:rPr>
              <w:t xml:space="preserve">Instructional Scaffolding in STEM Education</w:t>
            </w:r>
            <w:r>
              <w:t xml:space="preserve"> </w:t>
            </w:r>
            <w:r>
              <w:t xml:space="preserve">(Springer); Belland dkk. (2017), meta-analisis,</w:t>
            </w:r>
            <w:r>
              <w:t xml:space="preserve"> </w:t>
            </w:r>
            <w:r>
              <w:rPr>
                <w:iCs/>
                <w:i/>
              </w:rPr>
              <w:t xml:space="preserve">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Sintesis empiris scaffolding di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 &amp; Jonassen (2002)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ETR&amp;D</w:t>
            </w:r>
            <w:r>
              <w:t xml:space="preserve">, 50(3), 5–22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Scaffold argumentasi meningkatkan koherensi argumen DAN aksi pemecahan masalah</w:t>
            </w:r>
            <w:r>
              <w:t xml:space="preserve"> </w:t>
            </w:r>
            <w:r>
              <w:t xml:space="preserve">dalam 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Kedudukan dalam model:</w:t>
      </w:r>
      <w:r>
        <w:t xml:space="preserve"> </w:t>
      </w:r>
      <w:r>
        <w:rPr>
          <w:iCs/>
          <w:i/>
        </w:rPr>
        <w:t xml:space="preserve">epistemic scaffold</w:t>
      </w:r>
      <w:r>
        <w:t xml:space="preserve"> </w:t>
      </w:r>
      <w:r>
        <w:t xml:space="preserve">yang menjawab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apakah output model layak dijadikan bukti, dan apa yang harus diperbaiki?</w:t>
      </w:r>
      <w:r>
        <w:rPr>
          <w:bCs/>
          <w:b/>
        </w:rPr>
        <w:t xml:space="preserve">”</w:t>
      </w:r>
      <w:r>
        <w:t xml:space="preserve"> </w:t>
      </w:r>
      <w:r>
        <w:t xml:space="preserve">Toulmin menjadi landasan teoretis, CER + counterclaim + rebuttal menjadi format instruksional, dan Reiser (2004) menjadi prinsip desain prompt.</w:t>
      </w:r>
    </w:p>
    <w:bookmarkEnd w:id="25"/>
    <w:bookmarkStart w:id="26" w:name="X4faf81c8a0f703bd1be1d1c49677fc5fe4abe7f"/>
    <w:p>
      <w:pPr>
        <w:pStyle w:val="Heading3"/>
      </w:pPr>
      <w:r>
        <w:t xml:space="preserve">3.5 Teori Penghubung: Model-Based Argumentation ⭐</w:t>
      </w:r>
    </w:p>
    <w:p>
      <w:pPr>
        <w:pStyle w:val="FirstParagraph"/>
      </w:pPr>
      <w:r>
        <w:t xml:space="preserve">Inilah lapisan teori yang paling penting untuk kebaruan. Literatur pendidikan sains</w:t>
      </w:r>
      <w:r>
        <w:t xml:space="preserve"> </w:t>
      </w:r>
      <w:r>
        <w:rPr>
          <w:bCs/>
          <w:b/>
        </w:rPr>
        <w:t xml:space="preserve">sudah</w:t>
      </w:r>
      <w:r>
        <w:t xml:space="preserve"> </w:t>
      </w:r>
      <w:r>
        <w:t xml:space="preserve">memiliki teori yang menghubungkan pemodelan dan argumentasi, tetapi umumnya pada model konseptual atau fisik,</w:t>
      </w:r>
      <w:r>
        <w:t xml:space="preserve"> </w:t>
      </w:r>
      <w:r>
        <w:rPr>
          <w:bCs/>
          <w:b/>
        </w:rPr>
        <w:t xml:space="preserve">bukan model komputasional dalam PBL–STEM dengan outcome CT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Gagasan penghubung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Böttcher &amp; Meisert (2011)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Argumentation in science education: A model-based framework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Science &amp; Education</w:t>
            </w:r>
            <w:r>
              <w:t xml:space="preserve">, 20(2), 103–140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 adalah alasan yang mendukung kelayakan suatu model teoretis untuk menjelaskan fenomena;</w:t>
            </w:r>
            <w:r>
              <w:t xml:space="preserve"> </w:t>
            </w:r>
            <w:r>
              <w:rPr>
                <w:bCs/>
                <w:b/>
              </w:rPr>
              <w:t xml:space="preserve">argumentasi = evaluasi kritis model terhadap model alternatif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Passmore &amp; Svoboda (2012)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IJSE</w:t>
            </w:r>
            <w:r>
              <w:t xml:space="preserve">, 34(10), 1535–1554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Dalam kelas pemodelan ada empat titik peluang argumentasi, antara lain</w:t>
            </w:r>
            <w:r>
              <w:t xml:space="preserve"> </w:t>
            </w:r>
            <w:r>
              <w:rPr>
                <w:bCs/>
                <w:b/>
              </w:rPr>
              <w:t xml:space="preserve">saat memakai model untuk menjelaskan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Cs/>
                <w:b/>
              </w:rPr>
              <w:t xml:space="preserve">saat memilih di antara model-model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Mendonça &amp; Justi (2013)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IJSE</w:t>
            </w:r>
            <w:r>
              <w:t xml:space="preserve">, 35(14), 2407–2434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Hubungan antara tahap-tahap pemodelan (</w:t>
            </w:r>
            <w:r>
              <w:rPr>
                <w:iCs/>
                <w:i/>
              </w:rPr>
              <w:t xml:space="preserve">Model of Modelling</w:t>
            </w:r>
            <w:r>
              <w:t xml:space="preserve">) dan keterampilan argumentasi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 dkk. (2014),</w:t>
            </w:r>
            <w:r>
              <w:t xml:space="preserve"> </w:t>
            </w:r>
            <w:r>
              <w:rPr>
                <w:iCs/>
                <w:i/>
              </w:rPr>
              <w:t xml:space="preserve">JRST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Argumentasi dengan</w:t>
            </w:r>
            <w:r>
              <w:t xml:space="preserve"> </w:t>
            </w:r>
            <w:r>
              <w:rPr>
                <w:bCs/>
                <w:b/>
              </w:rPr>
              <w:t xml:space="preserve">ketidakpastian</w:t>
            </w:r>
            <w:r>
              <w:t xml:space="preserve"> </w:t>
            </w:r>
            <w:r>
              <w:t xml:space="preserve">saat memakai model sistem Bumi dan data nyata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Lyon, Fennell, &amp; Magana (2020),</w:t>
            </w:r>
            <w:r>
              <w:t xml:space="preserve"> </w:t>
            </w:r>
            <w:r>
              <w:rPr>
                <w:iCs/>
                <w:i/>
              </w:rPr>
              <w:t xml:space="preserve">CAEE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 dan penjelasan mahasiswa atas</w:t>
            </w:r>
            <w:r>
              <w:t xml:space="preserve"> </w:t>
            </w:r>
            <w:r>
              <w:rPr>
                <w:bCs/>
                <w:b/>
              </w:rPr>
              <w:t xml:space="preserve">model komputasional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Implikasi:</w:t>
      </w:r>
      <w:r>
        <w:t xml:space="preserve"> </w:t>
      </w:r>
      <w:r>
        <w:t xml:space="preserve">posisi teoretis disertasi dapat dirumuskan sebagai</w:t>
      </w:r>
      <w:r>
        <w:t xml:space="preserve"> </w:t>
      </w:r>
      <w:r>
        <w:rPr>
          <w:bCs/>
          <w:b/>
        </w:rPr>
        <w:t xml:space="preserve">perluasan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model-based argumentation</w:t>
      </w:r>
      <w:r>
        <w:rPr>
          <w:bCs/>
          <w:b/>
        </w:rPr>
        <w:t xml:space="preserve"> </w:t>
      </w:r>
      <w:r>
        <w:rPr>
          <w:bCs/>
          <w:b/>
        </w:rPr>
        <w:t xml:space="preserve">ke ranah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computational modeling</w:t>
      </w:r>
      <w:r>
        <w:rPr>
          <w:bCs/>
          <w:b/>
        </w:rPr>
        <w:t xml:space="preserve"> </w:t>
      </w:r>
      <w:r>
        <w:rPr>
          <w:bCs/>
          <w:b/>
        </w:rPr>
        <w:t xml:space="preserve">dalam PBL–Integrated STEM</w:t>
      </w:r>
      <w:r>
        <w:t xml:space="preserve">, dengan argumentasi sebagai penggerak revisi model yang diharapkan menumbuhkan CT. Rumusan ini jauh lebih kuat daripada</w:t>
      </w:r>
      <w:r>
        <w:t xml:space="preserve"> </w:t>
      </w:r>
      <w:r>
        <w:t xml:space="preserve">“</w:t>
      </w:r>
      <w:r>
        <w:t xml:space="preserve">menggabungkan empat pendekatan</w:t>
      </w:r>
      <w:r>
        <w:t xml:space="preserve">”</w:t>
      </w:r>
      <w:r>
        <w:t xml:space="preserve">.</w:t>
      </w:r>
    </w:p>
    <w:bookmarkEnd w:id="26"/>
    <w:bookmarkStart w:id="27" w:name="Xaebb6814e56123a53844c1113e056583a3b62e8"/>
    <w:p>
      <w:pPr>
        <w:pStyle w:val="Heading3"/>
      </w:pPr>
      <w:r>
        <w:t xml:space="preserve">3.6 Computational Thinking (variabel terikat) — kerangka dan instrumen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 (2006); Grover &amp; Pea (2013); Shute dkk. 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Brennan &amp; Resnick (2012)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Tiga dimensi:</w:t>
            </w:r>
            <w:r>
              <w:t xml:space="preserve"> </w:t>
            </w:r>
            <w:r>
              <w:rPr>
                <w:iCs/>
                <w:i/>
              </w:rPr>
              <w:t xml:space="preserve">concepts, practices,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Weintrop dkk. (2016)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Kerangka yang direkomendasikan</w:t>
            </w:r>
            <w:r>
              <w:t xml:space="preserve">: data,</w:t>
            </w:r>
            <w:r>
              <w:t xml:space="preserve"> </w:t>
            </w:r>
            <w:r>
              <w:rPr>
                <w:iCs/>
                <w:i/>
              </w:rPr>
              <w:t xml:space="preserve">modeling &amp; simulation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computational problem solving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systems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Román-González dkk. (2017),</w:t>
            </w:r>
            <w:r>
              <w:t xml:space="preserve"> </w:t>
            </w:r>
            <w:r>
              <w:rPr>
                <w:iCs/>
                <w:i/>
              </w:rPr>
              <w:t xml:space="preserve">Computers in Human Behavior</w:t>
            </w:r>
            <w:r>
              <w:t xml:space="preserve"> </w:t>
            </w:r>
            <w:r>
              <w:t xml:space="preserve">(CTt)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 tes CT (perlu diadaptasi untuk mahasiswa)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Korkmaz, Çakir, &amp; Özden (2017),</w:t>
            </w:r>
            <w:r>
              <w:t xml:space="preserve"> </w:t>
            </w:r>
            <w:r>
              <w:rPr>
                <w:iCs/>
                <w:i/>
              </w:rPr>
              <w:t xml:space="preserve">Computers in Human Behavior</w:t>
            </w:r>
            <w:r>
              <w:t xml:space="preserve"> </w:t>
            </w:r>
            <w:r>
              <w:t xml:space="preserve">(CTS)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Skala disposisi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</w:tbl>
    <w:p>
      <w:pPr>
        <w:pStyle w:val="BlockText"/>
      </w:pPr>
      <w:r>
        <w:rPr>
          <w:bCs/>
          <w:b/>
        </w:rPr>
        <w:t xml:space="preserve">Saran:</w:t>
      </w:r>
      <w:r>
        <w:t xml:space="preserve"> </w:t>
      </w:r>
      <w:r>
        <w:t xml:space="preserve">gunakan Weintrop dkk. (2016) sebagai kerangka konseptual karena memuat praktik pemodelan dan berpikir sistem, sehingga paling selaras dengan Fisika Bumi. Instrumennya perlu dikembangkan atau diadaptasi berbasis tugas (</w:t>
      </w:r>
      <w:r>
        <w:rPr>
          <w:iCs/>
          <w:i/>
        </w:rPr>
        <w:t xml:space="preserve">performance-based</w:t>
      </w:r>
      <w:r>
        <w:t xml:space="preserve">), karena tes CT generik cenderung berbasis pemrograman.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X6a06198ea6f9003bd5a1a4ec1f8522c35c8cf0b"/>
    <w:p>
      <w:pPr>
        <w:pStyle w:val="Heading1"/>
      </w:pPr>
      <w:r>
        <w:t xml:space="preserve">Bagian II. Teori Desain Model (belajar dari Novitra dkk., 2025)</w:t>
      </w:r>
    </w:p>
    <w:bookmarkStart w:id="30" w:name="X41011bc43a15a102cd85ec69be5efcf5e2e36dd"/>
    <w:p>
      <w:pPr>
        <w:pStyle w:val="Heading2"/>
      </w:pPr>
      <w:r>
        <w:t xml:space="preserve">4. Apa yang Bisa Ditiru dari Artikel Novitra dkk. (2025)</w:t>
      </w:r>
    </w:p>
    <w:p>
      <w:pPr>
        <w:pStyle w:val="FirstParagraph"/>
      </w:pPr>
      <w:r>
        <w:t xml:space="preserve">Novitra dkk. (2025),</w:t>
      </w:r>
      <w:r>
        <w:t xml:space="preserve"> </w:t>
      </w:r>
      <w:r>
        <w:rPr>
          <w:iCs/>
          <w:i/>
        </w:rPr>
        <w:t xml:space="preserve">International Journal of Educational Research Open</w:t>
      </w:r>
      <w:r>
        <w:t xml:space="preserve">, 8, 100424, mengembangkan</w:t>
      </w:r>
      <w:r>
        <w:t xml:space="preserve"> </w:t>
      </w:r>
      <w:r>
        <w:rPr>
          <w:bCs/>
          <w:b/>
        </w:rPr>
        <w:t xml:space="preserve">Dual Space Inquiry Framework</w:t>
      </w:r>
      <w:r>
        <w:t xml:space="preserve"> </w:t>
      </w:r>
      <w:r>
        <w:t xml:space="preserve">dengan pola yang sangat cocok untuk disertasi ini: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Langkah Novitra dkk.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Padanan dalam Disertasi 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EDR tiga fase McKenney &amp; Reeves: analisis-eksplorasi → desain-konstruksi → evaluasi-refleksi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metodologi yang sama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 2: membandingkan fase-fase lima model inkuiri</w:t>
            </w:r>
            <w:r>
              <w:t xml:space="preserve"> </w:t>
            </w:r>
            <w:r>
              <w:t xml:space="preserve">(Joyce dkk., NRC, Hanson, Bell dkk., Pedaste dkk.) lalu menyintesisnya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 5 di bawah</w:t>
            </w:r>
            <w:r>
              <w:t xml:space="preserve">: membandingkan sintaks PBL, Engineering Design, Modeling Cycle, dan Argumentasi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 kebutuhan dan perspektif mahasiswa (253 mahasiswa)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 kebutuhan mahasiswa calon guru fisika (Unila)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Desain kerangka per fase: aktivitas mahasiswa, aktivitas dosen, perangkat, dukungan (Gambar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 6</w:t>
            </w:r>
            <w:r>
              <w:t xml:space="preserve">: per fase berisi aktivitas mahasiswa, peran dosen, scaffold, dan praktik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Validasi pakar dan praktisi (10 + 10 orang) dengan</w:t>
            </w:r>
            <w:r>
              <w:t xml:space="preserve"> </w:t>
            </w:r>
            <w:r>
              <w:rPr>
                <w:bCs/>
                <w:b/>
              </w:rPr>
              <w:t xml:space="preserve">Aiken’s V</w:t>
            </w:r>
            <w:r>
              <w:t xml:space="preserve">; aspek: landasan teori, tahapan, sistem sosial, relevansi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model dengan aspek</w:t>
            </w:r>
            <w:r>
              <w:t xml:space="preserve"> </w:t>
            </w:r>
            <w:r>
              <w:rPr>
                <w:bCs/>
                <w:b/>
              </w:rPr>
              <w:t xml:space="preserve">lima komponen model Joyce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 kritis:</w:t>
      </w:r>
      <w:r>
        <w:t xml:space="preserve"> </w:t>
      </w:r>
      <w:r>
        <w:t xml:space="preserve">Novitra dkk. berhenti pada validitas kerangka konseptual. Untuk level disertasi, model ini perlu dilanjutkan sampai</w:t>
      </w:r>
      <w:r>
        <w:t xml:space="preserve"> </w:t>
      </w:r>
      <w:r>
        <w:rPr>
          <w:bCs/>
          <w:b/>
        </w:rPr>
        <w:t xml:space="preserve">kepraktisan dan keefektifan</w:t>
      </w:r>
      <w:r>
        <w:t xml:space="preserve"> </w:t>
      </w:r>
      <w:r>
        <w:t xml:space="preserve">(Nieveen, 1999; Plomp &amp; Nieveen, 2013) dan</w:t>
      </w:r>
      <w:r>
        <w:t xml:space="preserve"> </w:t>
      </w:r>
      <w:r>
        <w:rPr>
          <w:bCs/>
          <w:b/>
        </w:rPr>
        <w:t xml:space="preserve">mekanisme</w:t>
      </w:r>
      <w:r>
        <w:t xml:space="preserve"> </w:t>
      </w:r>
      <w:r>
        <w:t xml:space="preserve">perkembangan CT (RM3).</w:t>
      </w:r>
    </w:p>
    <w:bookmarkEnd w:id="30"/>
    <w:bookmarkStart w:id="31" w:name="teori-desain-yang-dipakai"/>
    <w:p>
      <w:pPr>
        <w:pStyle w:val="Heading2"/>
      </w:pPr>
      <w:r>
        <w:t xml:space="preserve">5. Teori Desain yang Dipakai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Rujukan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Joyce, Weil, &amp; Calhoun (2015)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Models of Teaching</w:t>
            </w:r>
            <w:r>
              <w:t xml:space="preserve"> </w:t>
            </w:r>
            <w:r>
              <w:t xml:space="preserve">(9th ed.)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 komponen model pembelajaran:</w:t>
            </w:r>
            <w:r>
              <w:t xml:space="preserve"> </w:t>
            </w:r>
            <w:r>
              <w:rPr>
                <w:bCs/>
                <w:b/>
              </w:rPr>
              <w:t xml:space="preserve">sintaks, sistem sosial, prinsip reaksi, sistem pendukung, dampak instruksional dan pengiring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(dikutip juga oleh Novitra dkk.)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McKenney &amp; Reeves (2019),</w:t>
            </w:r>
            <w:r>
              <w:t xml:space="preserve"> </w:t>
            </w:r>
            <w:r>
              <w:rPr>
                <w:iCs/>
                <w:i/>
              </w:rPr>
              <w:t xml:space="preserve">Conducting Educational Design Research</w:t>
            </w:r>
            <w:r>
              <w:t xml:space="preserve"> </w:t>
            </w:r>
            <w:r>
              <w:t xml:space="preserve">(2nd ed.)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EDR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(dikutip Novitra dkk.)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Plomp &amp; Nieveen (2013); Nieveen (1999)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Kriteria kualitas produk:</w:t>
            </w:r>
            <w:r>
              <w:t xml:space="preserve"> </w:t>
            </w:r>
            <w:r>
              <w:rPr>
                <w:bCs/>
                <w:b/>
              </w:rPr>
              <w:t xml:space="preserve">validitas, kepraktisan, keefektifan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Sandoval (2014)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Conjecture mapping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JLS</w:t>
            </w:r>
            <w:r>
              <w:t xml:space="preserve">, 23(1), 18–36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Memetakan dugaan desain (</w:t>
            </w:r>
            <w:r>
              <w:rPr>
                <w:iCs/>
                <w:i/>
              </w:rPr>
              <w:t xml:space="preserve">embodiment → mediating processes</w:t>
            </w:r>
            <w:r>
              <w:t xml:space="preserve">) dan dugaan teoretis (</w:t>
            </w:r>
            <w:r>
              <w:rPr>
                <w:iCs/>
                <w:i/>
              </w:rPr>
              <w:t xml:space="preserve">mediating processes → outcomes</w:t>
            </w:r>
            <w:r>
              <w:t xml:space="preserve">);</w:t>
            </w:r>
            <w:r>
              <w:t xml:space="preserve"> </w:t>
            </w:r>
            <w:r>
              <w:rPr>
                <w:bCs/>
                <w:b/>
              </w:rPr>
              <w:t xml:space="preserve">sangat cocok untuk menjawab RM3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Simon (1995),</w:t>
            </w:r>
            <w:r>
              <w:t xml:space="preserve"> </w:t>
            </w:r>
            <w:r>
              <w:rPr>
                <w:iCs/>
                <w:i/>
              </w:rPr>
              <w:t xml:space="preserve">Hypothetical Learning 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Dasar istilah</w:t>
            </w:r>
            <w:r>
              <w:t xml:space="preserve"> </w:t>
            </w:r>
            <w:r>
              <w:t xml:space="preserve">“</w:t>
            </w:r>
            <w:r>
              <w:t xml:space="preserve">model hipotetik</w:t>
            </w:r>
            <w:r>
              <w:t xml:space="preserve">”</w:t>
            </w:r>
            <w:r>
              <w:t xml:space="preserve"> </w:t>
            </w:r>
            <w:r>
              <w:t xml:space="preserve">(dipakai juga oleh Hendratmoko)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Aiken (1985),</w:t>
            </w:r>
            <w:r>
              <w:t xml:space="preserve"> </w:t>
            </w:r>
            <w:r>
              <w:rPr>
                <w:iCs/>
                <w:i/>
              </w:rPr>
              <w:t xml:space="preserve">Educational and Psychological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Indeks validitas isi (Aiken’s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(dikutip Novitra dkk.)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Xb58a7d1163bba69ec7e542dc72b0d40dfb99404"/>
    <w:p>
      <w:pPr>
        <w:pStyle w:val="Heading1"/>
      </w:pPr>
      <w:r>
        <w:t xml:space="preserve">Bagian III. Rancangan Model Pembelajaran Hipotetik</w:t>
      </w:r>
    </w:p>
    <w:bookmarkStart w:id="33" w:name="Xc2d34a362c2dbbd2ecd6673d6fddc675933e32e"/>
    <w:p>
      <w:pPr>
        <w:pStyle w:val="Heading2"/>
      </w:pPr>
      <w:r>
        <w:t xml:space="preserve">6. Sintesis Sintaks (meniru Tabel 2 Novitra dkk.)</w:t>
      </w:r>
    </w:p>
    <w:p>
      <w:pPr>
        <w:pStyle w:val="FirstParagraph"/>
      </w:pPr>
      <w:r>
        <w:rPr>
          <w:bCs/>
          <w:b/>
        </w:rPr>
        <w:t xml:space="preserve">Tabel 5. Perbandingan fase model-model rujukan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rujukan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PBL</w:t>
            </w:r>
            <w:r>
              <w:t xml:space="preserve"> </w:t>
            </w:r>
            <w:r>
              <w:t xml:space="preserve">(Arends, 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Orientasi pada masalah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Mengorganisasi belajar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Membimbing investigasi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Mengembangkan dan menyajikan karya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dan evaluasi 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 Design</w:t>
            </w:r>
            <w:r>
              <w:t xml:space="preserve"> </w:t>
            </w:r>
            <w:r>
              <w:t xml:space="preserve">(NAE &amp; NRC, 2014; Crismond &amp; Adams, 2012)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Define</w:t>
            </w:r>
            <w:r>
              <w:t xml:space="preserve"> </w:t>
            </w:r>
            <w:r>
              <w:t xml:space="preserve">masalah, kriteria, kendala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Riset dan ideasi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Develop/build</w:t>
            </w:r>
            <w:r>
              <w:t xml:space="preserve"> </w:t>
            </w:r>
            <w:r>
              <w:t xml:space="preserve">solusi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Modeling Cycle</w:t>
            </w:r>
            <w:r>
              <w:t xml:space="preserve"> </w:t>
            </w:r>
            <w:r>
              <w:t xml:space="preserve">(Hestenes, 1987; Schwarz dkk., 2009)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Konstruksi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Penggunaan/simulasi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Evaluasi terhadap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Argumentasi</w:t>
            </w:r>
            <w:r>
              <w:t xml:space="preserve"> </w:t>
            </w:r>
            <w:r>
              <w:t xml:space="preserve">(Toulmin; McNeill dkk., 2006; Sampson dkk., 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pemandu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Mengumpulkan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Menyusun claim–evidence–reasoning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Argumentation session</w:t>
            </w:r>
            <w:r>
              <w:t xml:space="preserve">/kritik sejawat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 argumen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Refleksi</w:t>
            </w:r>
          </w:p>
        </w:tc>
      </w:tr>
    </w:tbl>
    <w:p>
      <w:pPr>
        <w:pStyle w:val="BodyText"/>
      </w:pPr>
      <w:r>
        <w:t xml:space="preserve">Dari perbandingan ini terlihat bahwa keempat model memiliki</w:t>
      </w:r>
      <w:r>
        <w:t xml:space="preserve"> </w:t>
      </w:r>
      <w:r>
        <w:rPr>
          <w:bCs/>
          <w:b/>
        </w:rPr>
        <w:t xml:space="preserve">titik temu alami</w:t>
      </w:r>
      <w:r>
        <w:t xml:space="preserve">: fase</w:t>
      </w:r>
      <w:r>
        <w:t xml:space="preserve"> </w:t>
      </w:r>
      <w:r>
        <w:t xml:space="preserve">“</w:t>
      </w:r>
      <w:r>
        <w:t xml:space="preserve">evaluasi/test</w:t>
      </w:r>
      <w:r>
        <w:t xml:space="preserve">”</w:t>
      </w:r>
      <w:r>
        <w:t xml:space="preserve"> </w:t>
      </w:r>
      <w:r>
        <w:t xml:space="preserve">pada Engineering Design,</w:t>
      </w:r>
      <w:r>
        <w:t xml:space="preserve"> </w:t>
      </w:r>
      <w:r>
        <w:t xml:space="preserve">“</w:t>
      </w:r>
      <w:r>
        <w:t xml:space="preserve">evaluasi terhadap data</w:t>
      </w:r>
      <w:r>
        <w:t xml:space="preserve">”</w:t>
      </w:r>
      <w:r>
        <w:t xml:space="preserve"> </w:t>
      </w:r>
      <w:r>
        <w:t xml:space="preserve">pada Modeling Cycle, dan</w:t>
      </w:r>
      <w:r>
        <w:t xml:space="preserve"> </w:t>
      </w:r>
      <w:r>
        <w:t xml:space="preserve">“</w:t>
      </w:r>
      <w:r>
        <w:t xml:space="preserve">kritik sejawat</w:t>
      </w:r>
      <w:r>
        <w:t xml:space="preserve">”</w:t>
      </w:r>
      <w:r>
        <w:t xml:space="preserve"> </w:t>
      </w:r>
      <w:r>
        <w:t xml:space="preserve">pada argumentasi. Ketiganya dapat</w:t>
      </w:r>
      <w:r>
        <w:t xml:space="preserve"> </w:t>
      </w:r>
      <w:r>
        <w:rPr>
          <w:bCs/>
          <w:b/>
        </w:rPr>
        <w:t xml:space="preserve">dilebur menjadi satu fase argumentasi berbasis model</w:t>
      </w:r>
      <w:r>
        <w:t xml:space="preserve"> </w:t>
      </w:r>
      <w:r>
        <w:t xml:space="preserve">yang memicu revisi. Di titik leburan inilah mekanisme khas model berada.</w:t>
      </w:r>
    </w:p>
    <w:bookmarkEnd w:id="33"/>
    <w:bookmarkStart w:id="34" w:name="Xe49850eab942e26efac3fc6e169defc07740a9c"/>
    <w:p>
      <w:pPr>
        <w:pStyle w:val="Heading2"/>
      </w:pPr>
      <w:r>
        <w:t xml:space="preserve">7. Sintaks Model Hipotetik (8 fase, 1 siklus iteratif)</w:t>
      </w:r>
    </w:p>
    <w:p>
      <w:pPr>
        <w:pStyle w:val="FirstParagraph"/>
      </w:pPr>
      <w:r>
        <w:rPr>
          <w:bCs/>
          <w:b/>
        </w:rPr>
        <w:t xml:space="preserve">Nama kerja sementara:</w:t>
      </w:r>
      <w:r>
        <w:t xml:space="preserve"> </w:t>
      </w:r>
      <w:r>
        <w:rPr>
          <w:iCs/>
          <w:i/>
        </w:rPr>
        <w:t xml:space="preserve">Argumentation-Driven Computational Modeling in PBL–STEM</w:t>
      </w:r>
      <w:r>
        <w:t xml:space="preserve"> </w:t>
      </w:r>
      <w:r>
        <w:t xml:space="preserve">(kode kerja:</w:t>
      </w:r>
      <w:r>
        <w:t xml:space="preserve"> </w:t>
      </w:r>
      <w:r>
        <w:rPr>
          <w:bCs/>
          <w:b/>
        </w:rPr>
        <w:t xml:space="preserve">AD-CoMPS</w:t>
      </w:r>
      <w:r>
        <w:t xml:space="preserve">). Ini hanya label kerja, belum nama final, sesuai saran sebelumnya agar nama model ditetapkan setelah SLR.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F1 Orientasi Masalah Sistem Bumi        (PBL)                            │</w:t>
      </w:r>
      <w:r>
        <w:br/>
      </w:r>
      <w:r>
        <w:rPr>
          <w:rStyle w:val="VerbatimChar"/>
        </w:rPr>
        <w:t xml:space="preserve"> │ F2 Analisis Masalah STEM &amp; Kriteria     (PBL + STEM: define)             │</w:t>
      </w:r>
      <w:r>
        <w:br/>
      </w:r>
      <w:r>
        <w:rPr>
          <w:rStyle w:val="VerbatimChar"/>
        </w:rPr>
        <w:t xml:space="preserve"> │ F3 Investigasi &amp; Akuisisi Data          (STEM: T + S; data practices)    │</w:t>
      </w:r>
      <w:r>
        <w:br/>
      </w:r>
      <w:r>
        <w:rPr>
          <w:rStyle w:val="VerbatimChar"/>
        </w:rPr>
        <w:t xml:space="preserve"> │        ↓                                                                 │</w:t>
      </w:r>
      <w:r>
        <w:br/>
      </w:r>
      <w:r>
        <w:rPr>
          <w:rStyle w:val="VerbatimChar"/>
        </w:rPr>
        <w:t xml:space="preserve"> │ F4 Konstruksi Model Komputasional  ◄─────────────────────────┐           │</w:t>
      </w:r>
      <w:r>
        <w:br/>
      </w:r>
      <w:r>
        <w:rPr>
          <w:rStyle w:val="VerbatimChar"/>
        </w:rPr>
        <w:t xml:space="preserve"> │ F5 Simulasi &amp; Pembangkitan Evidence                          │ SIKLUS    │</w:t>
      </w:r>
      <w:r>
        <w:br/>
      </w:r>
      <w:r>
        <w:rPr>
          <w:rStyle w:val="VerbatimChar"/>
        </w:rPr>
        <w:t xml:space="preserve"> │ F6 Argumentasi Berbasis Model (SAS)                          │ REVISI    │</w:t>
      </w:r>
      <w:r>
        <w:br/>
      </w:r>
      <w:r>
        <w:rPr>
          <w:rStyle w:val="VerbatimChar"/>
        </w:rPr>
        <w:t xml:space="preserve"> │ F7 Kritik &amp; Revisi Model/Desain  ────────────────────────────┘ (iteratif)│</w:t>
      </w:r>
      <w:r>
        <w:br/>
      </w:r>
      <w:r>
        <w:rPr>
          <w:rStyle w:val="VerbatimChar"/>
        </w:rPr>
        <w:t xml:space="preserve"> │        ↓ (bila argumen sudah kuat)                                       │</w:t>
      </w:r>
      <w:r>
        <w:br/>
      </w:r>
      <w:r>
        <w:rPr>
          <w:rStyle w:val="VerbatimChar"/>
        </w:rPr>
        <w:t xml:space="preserve"> │ F8 Presentasi Solusi &amp; Refleksi         (PBL: evaluasi proses)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Tabel 6. Rincian fase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 mahasiswa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dosen (prinsip reaksi)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 CT yang dilatih (Weintrop dkk., 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Dasar teori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 Orientasi Masalah Sistem Bumi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Mengamati masalah nyata (mis. saluran air yang meluap di lokasi X, data banjir BNPB/BMKG); survei lapangan; merumuskan pertanyaan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Menyajikan fenomena, memicu rasa ingin tahu, tidak memberi jawaban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Lembar identifikasi masalah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Systems thinking</w:t>
            </w:r>
            <w:r>
              <w:t xml:space="preserve">: mengenali sistem sebagai keseluruhan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Dewey; Barrows; Arends fase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 Analisis Masalah STEM dan Penetapan 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Memecah masalah menjadi submasalah; memetakan konsep S-T-E-M yang dibutuhkan; menetapkan kriteria dan kendala solusi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Fasilitator kelompok; memastikan masalah benar-benar menuntut lebih dari satu disiplin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 dekomposisi masalah; tabel kriteria–kendala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Decomposition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defining system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Jonassen (2000); NAE &amp; NRC (2014); Roehrig dkk.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 Investigasi dan Akuisisi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Mengumpulkan data nyata (sensor/IoT tinggi muka air, curah hujan; data terbuka BMKG); membersihkan dan memvisualisasi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Membimbing teknik pengukuran dan kualitas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Panduan pengukuran; templat notebook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Data practices</w:t>
            </w:r>
            <w:r>
              <w:t xml:space="preserve">: mengumpulkan, mengolah, memvisualisasi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Weintrop dkk. (2016); Møller dkk.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 Konstruksi Model Komputasional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Menentukan variabel dan asumsi; merumuskan hubungan matematis (mis.</w:t>
            </w:r>
            <w:r>
              <w:t xml:space="preserve"> </w:t>
            </w:r>
            <w:r>
              <w:rPr>
                <w:iCs/>
                <w:i/>
              </w:rPr>
              <w:t xml:space="preserve">rainfall–runoff</w:t>
            </w:r>
            <w:r>
              <w:t xml:space="preserve">, laju perubahan muka air); menerjemahkan ke kode (Python/Colab)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pertanyaan problematisasi (</w:t>
            </w:r>
            <w:r>
              <w:t xml:space="preserve">“</w:t>
            </w:r>
            <w:r>
              <w:t xml:space="preserve">asumsi apa yang Anda buat?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 kode bertahap (dipudarkan); daftar periksa asumsi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Abstraction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algorithmic thinking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computational problem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Hestenes (1987); Schwarz dkk. (2009); Papert (1980)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 Simulasi dan Pembangkitan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beberapa skenario dan alternatif desain (mis. posisi sensor, ambang peringatan); membandingkan output dengan data nyata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Mendorong pengujian sensitivitas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 skenario; grafik prediksi vs observasi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Modeling &amp; simulation</w:t>
            </w:r>
            <w:r>
              <w:t xml:space="preserve">: menguji,</w:t>
            </w:r>
            <w:r>
              <w:t xml:space="preserve"> </w:t>
            </w:r>
            <w:r>
              <w:rPr>
                <w:iCs/>
                <w:i/>
              </w:rPr>
              <w:t xml:space="preserve">pattern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Weintrop dkk. (2016); Caballero dkk.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 Argumentasi Berbasis Model (SAS)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Menyusun</w:t>
            </w:r>
            <w:r>
              <w:t xml:space="preserve"> </w:t>
            </w:r>
            <w:r>
              <w:rPr>
                <w:bCs/>
                <w:b/>
              </w:rPr>
              <w:t xml:space="preserve">claim</w:t>
            </w:r>
            <w:r>
              <w:t xml:space="preserve"> </w:t>
            </w:r>
            <w:r>
              <w:t xml:space="preserve">(solusi/model terbaik),</w:t>
            </w:r>
            <w:r>
              <w:t xml:space="preserve"> </w:t>
            </w:r>
            <w:r>
              <w:rPr>
                <w:bCs/>
                <w:b/>
              </w:rPr>
              <w:t xml:space="preserve">evidence</w:t>
            </w:r>
            <w:r>
              <w:t xml:space="preserve"> </w:t>
            </w:r>
            <w:r>
              <w:t xml:space="preserve">(data + output model),</w:t>
            </w:r>
            <w:r>
              <w:t xml:space="preserve"> </w:t>
            </w:r>
            <w:r>
              <w:rPr>
                <w:bCs/>
                <w:b/>
              </w:rPr>
              <w:t xml:space="preserve">reasoning</w:t>
            </w:r>
            <w:r>
              <w:t xml:space="preserve"> </w:t>
            </w:r>
            <w:r>
              <w:t xml:space="preserve">(prinsip fisika),</w:t>
            </w:r>
            <w:r>
              <w:t xml:space="preserve"> </w:t>
            </w:r>
            <w:r>
              <w:rPr>
                <w:bCs/>
                <w:b/>
              </w:rPr>
              <w:t xml:space="preserve">qualifier</w:t>
            </w:r>
            <w:r>
              <w:t xml:space="preserve"> </w:t>
            </w:r>
            <w:r>
              <w:t xml:space="preserve">(ketidakpastian); kelompok lain mengajukan</w:t>
            </w:r>
            <w:r>
              <w:t xml:space="preserve"> </w:t>
            </w:r>
            <w:r>
              <w:rPr>
                <w:bCs/>
                <w:b/>
              </w:rPr>
              <w:t xml:space="preserve">counterclaim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Mengorkestrasi sesi argumentasi; menegakkan norma bukti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Kartu prompt SAS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structuring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problematizing</w:t>
            </w:r>
            <w:r>
              <w:t xml:space="preserve">):</w:t>
            </w:r>
            <w:r>
              <w:t xml:space="preserve"> </w:t>
            </w:r>
            <w:r>
              <w:t xml:space="preserve">“</w:t>
            </w:r>
            <w:r>
              <w:t xml:space="preserve">Data mana yang mendukung?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Apa keterbatasan model?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Model alternatif apa yang lebih baik?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Evaluation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systems thinking</w:t>
            </w:r>
            <w:r>
              <w:t xml:space="preserve"> </w:t>
            </w:r>
            <w:r>
              <w:t xml:space="preserve">(menimbang trade-off)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Toulmin; McNeill dkk. (2006); Böttcher &amp; Meisert (2011); Passmore &amp; Svoboda (2012); Lee dkk. (2014); Reiser (2004)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 Kritik dan Revisi Model/Desain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Menanggapi rebuttal; mengidentifikasi sumber ketidaksesuaian; merevisi asumsi, kode, atau desain;</w:t>
            </w:r>
            <w:r>
              <w:t xml:space="preserve"> </w:t>
            </w:r>
            <w:r>
              <w:rPr>
                <w:bCs/>
                <w:b/>
              </w:rPr>
              <w:t xml:space="preserve">kembali ke F4–F5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 apakah revisi berbasis bukti; mencatat episode revisi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revisi model (versi 1, 2, 3, … beserta alasan revisi)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Debugging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troubleshooting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iterative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Mendonça &amp; Justi (2013); Piaget (disekuilibrium); Crismond &amp; Adams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F8 Presentasi Solusi dan Refleksi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Mempresentasikan solusi akhir beserta argumennya; merefleksikan proses pemodelan dan argumentasi; menggeneralisasi ke masalah 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Memberi umpan balik; memfasilitasi refleksi metakognitif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Rubrik presentasi; jurnal refleksi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Generalization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perspectives</w:t>
            </w:r>
            <w:r>
              <w:t xml:space="preserve"> </w:t>
            </w:r>
            <w:r>
              <w:t xml:space="preserve">(Brennan &amp; Resnick)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Arends fase 5; Louca &amp; Zacharia (2012)</w:t>
            </w:r>
          </w:p>
        </w:tc>
      </w:tr>
    </w:tbl>
    <w:bookmarkEnd w:id="34"/>
    <w:bookmarkStart w:id="35" w:name="X49397f69e67209a45f952c1bc87766b656a1461"/>
    <w:p>
      <w:pPr>
        <w:pStyle w:val="Heading2"/>
      </w:pPr>
      <w:r>
        <w:t xml:space="preserve">8. Lima Komponen Model (Joyce, Weil, &amp; Calhoun, 2015)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rancangan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Sintaks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fase di atas, dengan</w:t>
            </w:r>
            <w:r>
              <w:t xml:space="preserve"> </w:t>
            </w:r>
            <w:r>
              <w:rPr>
                <w:bCs/>
                <w:b/>
              </w:rPr>
              <w:t xml:space="preserve">siklus iteratif F4→F5→F6→F7</w:t>
            </w:r>
            <w:r>
              <w:t xml:space="preserve"> </w:t>
            </w:r>
            <w:r>
              <w:t xml:space="preserve">sebagai ciri khas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Sistem 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 kecil heterogen (3–4 orang); dosen sebagai fasilitator; sesi argumentasi antarkelompok; norma</w:t>
            </w:r>
            <w:r>
              <w:t xml:space="preserve"> </w:t>
            </w:r>
            <w:r>
              <w:t xml:space="preserve">“</w:t>
            </w:r>
            <w:r>
              <w:t xml:space="preserve">klaim harus dibuktikan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Prinsip reaksi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tidak memberi jawaban; merespons dengan pertanyaan</w:t>
            </w:r>
            <w:r>
              <w:t xml:space="preserve"> </w:t>
            </w:r>
            <w:r>
              <w:rPr>
                <w:iCs/>
                <w:i/>
              </w:rPr>
              <w:t xml:space="preserve">problematizing</w:t>
            </w:r>
            <w:r>
              <w:t xml:space="preserve">; scaffold dipudarkan bertahap seiring kemandirian mahasiswa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Sistem pendukung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LMS; Python/Google Colab atau</w:t>
            </w:r>
            <w:r>
              <w:t xml:space="preserve"> </w:t>
            </w:r>
            <w:r>
              <w:rPr>
                <w:iCs/>
                <w:i/>
              </w:rPr>
              <w:t xml:space="preserve">functional programming</w:t>
            </w:r>
            <w:r>
              <w:t xml:space="preserve">; sensor/IoT (ESP32, sensor tinggi muka air,</w:t>
            </w:r>
            <w:r>
              <w:t xml:space="preserve"> </w:t>
            </w:r>
            <w:r>
              <w:rPr>
                <w:iCs/>
                <w:i/>
              </w:rPr>
              <w:t xml:space="preserve">rain gauge</w:t>
            </w:r>
            <w:r>
              <w:t xml:space="preserve">) atau data terbuka BMKG; LKM berbasis masalah; kartu prompt SAS; templat log revisi model; rubrik argumen dan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Dampak instruksional dan pengiring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Instruksional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Computational Thinking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Pengiring</w:t>
            </w:r>
            <w:r>
              <w:t xml:space="preserve">: kemampuan argumentasi, pemahaman epistemik tentang model (</w:t>
            </w:r>
            <w:r>
              <w:rPr>
                <w:iCs/>
                <w:i/>
              </w:rPr>
              <w:t xml:space="preserve">nature, testing, changing</w:t>
            </w:r>
            <w:r>
              <w:t xml:space="preserve">), kolaborasi, dan kepedulian terhadap kebencanaan lingkungan</w:t>
            </w:r>
          </w:p>
        </w:tc>
      </w:tr>
    </w:tbl>
    <w:bookmarkEnd w:id="35"/>
    <w:bookmarkStart w:id="36" w:name="Xa7fa76da0ad30049d82aa3a7901806cfbf472e8"/>
    <w:p>
      <w:pPr>
        <w:pStyle w:val="Heading2"/>
      </w:pPr>
      <w:r>
        <w:t xml:space="preserve">9. Conjecture Map (Sandoval, 2014) — jembatan ke RM3</w:t>
      </w:r>
    </w:p>
    <w:p>
      <w:pPr>
        <w:pStyle w:val="SourceCode"/>
      </w:pPr>
      <w:r>
        <w:rPr>
          <w:rStyle w:val="VerbatimChar"/>
        </w:rPr>
        <w:t xml:space="preserve">KONJEKTUR TINGGI:</w:t>
      </w:r>
      <w:r>
        <w:br/>
      </w:r>
      <w:r>
        <w:rPr>
          <w:rStyle w:val="VerbatimChar"/>
        </w:rPr>
        <w:t xml:space="preserve">  Bila mahasiswa memperlakukan output model komputasional sebagai evidence yang harus</w:t>
      </w:r>
      <w:r>
        <w:br/>
      </w:r>
      <w:r>
        <w:rPr>
          <w:rStyle w:val="VerbatimChar"/>
        </w:rPr>
        <w:t xml:space="preserve">  diargumentasikan, kritik terhadap argumen akan memicu revisi model, dan siklus revisi</w:t>
      </w:r>
      <w:r>
        <w:br/>
      </w:r>
      <w:r>
        <w:rPr>
          <w:rStyle w:val="VerbatimChar"/>
        </w:rPr>
        <w:t xml:space="preserve">  berbasis argumen inilah yang menumbuhkan CT.</w:t>
      </w:r>
      <w:r>
        <w:br/>
      </w:r>
      <w:r>
        <w:br/>
      </w:r>
      <w:r>
        <w:rPr>
          <w:rStyle w:val="VerbatimChar"/>
        </w:rPr>
        <w:t xml:space="preserve">EMBODIMENT                 →  PROSES PERANTARA (teramati)         →  OUTCOME</w:t>
      </w:r>
      <w:r>
        <w:br/>
      </w:r>
      <w:r>
        <w:rPr>
          <w:rStyle w:val="VerbatimChar"/>
        </w:rPr>
        <w:t xml:space="preserve">(apa yang dirancang)          (apa yang terjadi saat belajar)</w:t>
      </w:r>
      <w:r>
        <w:br/>
      </w:r>
      <w:r>
        <w:br/>
      </w:r>
      <w:r>
        <w:rPr>
          <w:rStyle w:val="VerbatimChar"/>
        </w:rPr>
        <w:t xml:space="preserve">• Masalah sistem Bumi nyata    • Mahasiswa mendekomposisi masalah     • CT meningkat</w:t>
      </w:r>
      <w:r>
        <w:br/>
      </w:r>
      <w:r>
        <w:rPr>
          <w:rStyle w:val="VerbatimChar"/>
        </w:rPr>
        <w:t xml:space="preserve">• Templat kode bertahap        • Model versi 1 → 2 → 3                  (decomposition,</w:t>
      </w:r>
      <w:r>
        <w:br/>
      </w:r>
      <w:r>
        <w:rPr>
          <w:rStyle w:val="VerbatimChar"/>
        </w:rPr>
        <w:t xml:space="preserve">• Kartu prompt SAS             • Episode "argumen memicu revisi"        abstraction,</w:t>
      </w:r>
      <w:r>
        <w:br/>
      </w:r>
      <w:r>
        <w:rPr>
          <w:rStyle w:val="VerbatimChar"/>
        </w:rPr>
        <w:t xml:space="preserve">• Sesi counterclaim            • Kualitas argumen naik (level TAP)      algorithm, data,</w:t>
      </w:r>
      <w:r>
        <w:br/>
      </w:r>
      <w:r>
        <w:rPr>
          <w:rStyle w:val="VerbatimChar"/>
        </w:rPr>
        <w:t xml:space="preserve">• Log revisi model             • Jenis revisi: asumsi / parameter /     debugging,</w:t>
      </w:r>
      <w:r>
        <w:br/>
      </w:r>
      <w:r>
        <w:rPr>
          <w:rStyle w:val="VerbatimChar"/>
        </w:rPr>
        <w:t xml:space="preserve">                                 algoritma / desain                     generalization)</w:t>
      </w:r>
      <w:r>
        <w:br/>
      </w:r>
      <w:r>
        <w:br/>
      </w:r>
      <w:r>
        <w:rPr>
          <w:rStyle w:val="VerbatimChar"/>
        </w:rPr>
        <w:t xml:space="preserve">   └─ dugaan desain ─┘                 └──── dugaan teoretis ────┘</w:t>
      </w:r>
    </w:p>
    <w:p>
      <w:pPr>
        <w:pStyle w:val="FirstParagraph"/>
      </w:pPr>
      <w:r>
        <w:rPr>
          <w:bCs/>
          <w:b/>
        </w:rPr>
        <w:t xml:space="preserve">Kegunaan untuk disertasi: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RM1</w:t>
      </w:r>
      <w:r>
        <w:t xml:space="preserve"> </w:t>
      </w:r>
      <w:r>
        <w:t xml:space="preserve">(karakteristik desain) dijawab oleh</w:t>
      </w:r>
      <w:r>
        <w:t xml:space="preserve"> </w:t>
      </w:r>
      <w:r>
        <w:rPr>
          <w:iCs/>
          <w:i/>
        </w:rPr>
        <w:t xml:space="preserve">embodiment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RM2</w:t>
      </w:r>
      <w:r>
        <w:t xml:space="preserve"> </w:t>
      </w:r>
      <w:r>
        <w:t xml:space="preserve">(apakah CT berkembang) dijawab oleh</w:t>
      </w:r>
      <w:r>
        <w:t xml:space="preserve"> </w:t>
      </w:r>
      <w:r>
        <w:rPr>
          <w:iCs/>
          <w:i/>
        </w:rPr>
        <w:t xml:space="preserve">outcome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RM3</w:t>
      </w:r>
      <w:r>
        <w:t xml:space="preserve"> </w:t>
      </w:r>
      <w:r>
        <w:t xml:space="preserve">(bagaimana CT berkembang) dijawab oleh</w:t>
      </w:r>
      <w:r>
        <w:t xml:space="preserve"> </w:t>
      </w:r>
      <w:r>
        <w:rPr>
          <w:bCs/>
          <w:b/>
        </w:rPr>
        <w:t xml:space="preserve">proses perantara</w:t>
      </w:r>
      <w:r>
        <w:t xml:space="preserve">: dianalisis dari log revisi model, rekaman argumentasi, dan artefak kode. Ini kontribusi teoretis tingkat doktoral.</w:t>
      </w:r>
    </w:p>
    <w:bookmarkEnd w:id="36"/>
    <w:bookmarkStart w:id="37" w:name="pembeda-dari-model-yang-sudah-ada"/>
    <w:p>
      <w:pPr>
        <w:pStyle w:val="Heading2"/>
      </w:pPr>
      <w:r>
        <w:t xml:space="preserve">10. Pembeda dari Model yang Sudah 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yang sudah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dimiliki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tidak dimiliki (ruang kebaruan)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STEM-CT</w:t>
            </w:r>
            <w:r>
              <w:t xml:space="preserve"> </w:t>
            </w:r>
            <w:r>
              <w:t xml:space="preserve">(Amrizaldi,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 + CT; pemodelan/simulasi sebagai satu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Argumentasi sebagai penggerak revisi; masalah sistem Bumi; subjek calon guru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C2STEM</w:t>
            </w:r>
            <w:r>
              <w:t xml:space="preserve"> </w:t>
            </w:r>
            <w:r>
              <w:t xml:space="preserve">(Hutchins dkk.,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+ CT dalam fisika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PBL berbasis masalah nyata; argumentation scaffolding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Modeling Instruction</w:t>
            </w:r>
            <w:r>
              <w:t xml:space="preserve"> </w:t>
            </w:r>
            <w:r>
              <w:t xml:space="preserve">(Hestenes; Wells dkk., 1995)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Siklus pemodelan + diskusi papan tulis (</w:t>
            </w:r>
            <w:r>
              <w:rPr>
                <w:iCs/>
                <w:i/>
              </w:rPr>
              <w:t xml:space="preserve">whiteboarding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  <w:r>
              <w:t xml:space="preserve"> </w:t>
            </w:r>
            <w:r>
              <w:rPr>
                <w:iCs/>
                <w:i/>
              </w:rPr>
              <w:t xml:space="preserve">komputasional</w:t>
            </w:r>
            <w:r>
              <w:t xml:space="preserve"> </w:t>
            </w:r>
            <w:r>
              <w:t xml:space="preserve">+ engineering design + CT sebagai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ADI</w:t>
            </w:r>
            <w:r>
              <w:t xml:space="preserve"> </w:t>
            </w:r>
            <w:r>
              <w:t xml:space="preserve">(Sampson dkk., 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Argumentasi terstruktur di laboratorium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Pemodelan komputasional; masalah rekayasa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Model-based argumentation</w:t>
            </w:r>
            <w:r>
              <w:t xml:space="preserve"> </w:t>
            </w:r>
            <w:r>
              <w:t xml:space="preserve">(Böttcher &amp; Meisert, 2011; Passmore &amp; Svoboda, 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Hubungan teoretis model ↔ argumen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Konteks komputasional, PBL–STEM, dan outcome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Scaffolded CM</w:t>
            </w:r>
            <w:r>
              <w:t xml:space="preserve"> </w:t>
            </w:r>
            <w:r>
              <w:t xml:space="preserve">(Magana dkk.,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regulasi dan representasi pada CM termodinamika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</w:t>
            </w:r>
            <w:r>
              <w:t xml:space="preserve"> </w:t>
            </w:r>
            <w:r>
              <w:rPr>
                <w:iCs/>
                <w:i/>
              </w:rPr>
              <w:t xml:space="preserve">argumentasi</w:t>
            </w:r>
            <w:r>
              <w:t xml:space="preserve">; masalah autentik sistem Bumi</w:t>
            </w:r>
          </w:p>
        </w:tc>
      </w:tr>
    </w:tbl>
    <w:p>
      <w:pPr>
        <w:pStyle w:val="BodyText"/>
      </w:pPr>
      <w:r>
        <w:rPr>
          <w:bCs/>
          <w:b/>
        </w:rPr>
        <w:t xml:space="preserve">Rumusan kebaruan sementara:</w:t>
      </w:r>
      <w:r>
        <w:t xml:space="preserve"> </w:t>
      </w:r>
      <w:r>
        <w:t xml:space="preserve">kebaruan terletak pada</w:t>
      </w:r>
      <w:r>
        <w:t xml:space="preserve"> </w:t>
      </w:r>
      <w:r>
        <w:rPr>
          <w:bCs/>
          <w:b/>
        </w:rPr>
        <w:t xml:space="preserve">mekanisme siklus revisi model komputasional yang digerakkan oleh argumentasi ilmiah ter-</w:t>
      </w:r>
      <w:r>
        <w:rPr>
          <w:iCs/>
          <w:i/>
          <w:bCs/>
          <w:b/>
        </w:rPr>
        <w:t xml:space="preserve">scaffold</w:t>
      </w:r>
      <w:r>
        <w:t xml:space="preserve"> </w:t>
      </w:r>
      <w:r>
        <w:t xml:space="preserve">(F6⇄F7⇄F4) dalam PBL–Integrated STEM pada masalah autentik sistem Bumi, beserta penjelasan empiris tentang bagaimana mekanisme itu menumbuhkan CT. Klaim ini tetap harus diverifikasi oleh SLR-RQ6.</w:t>
      </w:r>
    </w:p>
    <w:bookmarkEnd w:id="37"/>
    <w:bookmarkStart w:id="38" w:name="Xa3a70eae8e503ff7aaa54b60d478ec6d7ab7402"/>
    <w:p>
      <w:pPr>
        <w:pStyle w:val="Heading2"/>
      </w:pPr>
      <w:r>
        <w:t xml:space="preserve">11. Implikasi untuk Langkah Berikutnya (alur EDR)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Tahap EDR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Keluaran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Analisis dan eksplorasi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SLR-RQ1–RQ6; studi kebutuhan (survei dan tes awal CT mahasiswa Unila); analisis RPS Fisika Bumi; identifikasi masalah lapangan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Prinsip desain; konfirmasi gap; pilihan submateri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Desain dan konstruksi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Menyempurnakan sintaks 8 fase; menyusun buku model, LKM, kartu SAS, instrumen CT dan rubrik argumen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Prototipe model dan perangkat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Evaluasi dan refleksi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pakar dan praktisi (Aiken’s V); uji kepraktisan (uji terbatas); uji keefektifan (kuasi-eksperimen); analisis proses (log revisi dan rekaman argumentasi)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valid, praktis, efektif, dan teori mekanisme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aftar-pustaka"/>
    <w:p>
      <w:pPr>
        <w:pStyle w:val="Heading2"/>
      </w:pPr>
      <w:r>
        <w:t xml:space="preserve">Daftar Pustaka</w:t>
      </w:r>
    </w:p>
    <w:p>
      <w:pPr>
        <w:pStyle w:val="BlockText"/>
      </w:pPr>
      <w:r>
        <w:t xml:space="preserve">✅ = diverifikasi pada sesi ini; 📚 = klasik, cek ulang nomor halaman. Rujukan yang sudah tercantum di</w:t>
      </w:r>
      <w:r>
        <w:t xml:space="preserve"> </w:t>
      </w:r>
      <w:r>
        <w:rPr>
          <w:rStyle w:val="VerbatimChar"/>
        </w:rPr>
        <w:t xml:space="preserve">02-draf-latar-belakang.md</w:t>
      </w:r>
      <w:r>
        <w:t xml:space="preserve"> </w:t>
      </w:r>
      <w:r>
        <w:t xml:space="preserve">tidak diulang kecuali dikutip ulang di sini.</w:t>
      </w:r>
    </w:p>
    <w:p>
      <w:pPr>
        <w:numPr>
          <w:ilvl w:val="0"/>
          <w:numId w:val="1001"/>
        </w:numPr>
        <w:pStyle w:val="Compact"/>
      </w:pPr>
      <w:r>
        <w:t xml:space="preserve">Aiken, L. R. (1985). Three coefficients for analyzing the reliability and validity of ratings.</w:t>
      </w:r>
      <w:r>
        <w:t xml:space="preserve"> </w:t>
      </w:r>
      <w:r>
        <w:rPr>
          <w:iCs/>
          <w:i/>
        </w:rPr>
        <w:t xml:space="preserve">Educational and Psychological Measurement, 45</w:t>
      </w:r>
      <w:r>
        <w:t xml:space="preserve">(1), 131–142. https://doi.org/10.1177/0013164485451012</w:t>
      </w:r>
    </w:p>
    <w:p>
      <w:pPr>
        <w:numPr>
          <w:ilvl w:val="0"/>
          <w:numId w:val="1001"/>
        </w:numPr>
        <w:pStyle w:val="Compact"/>
      </w:pPr>
      <w:r>
        <w:t xml:space="preserve">Arends, R. I. (2012).</w:t>
      </w:r>
      <w:r>
        <w:t xml:space="preserve"> </w:t>
      </w:r>
      <w:r>
        <w:rPr>
          <w:iCs/>
          <w:i/>
        </w:rPr>
        <w:t xml:space="preserve">Learning to teach</w:t>
      </w:r>
      <w:r>
        <w:t xml:space="preserve"> </w:t>
      </w:r>
      <w:r>
        <w:t xml:space="preserve">(9th ed.). McGraw-Hill. 📚</w:t>
      </w:r>
    </w:p>
    <w:p>
      <w:pPr>
        <w:numPr>
          <w:ilvl w:val="0"/>
          <w:numId w:val="1001"/>
        </w:numPr>
        <w:pStyle w:val="Compact"/>
      </w:pPr>
      <w:r>
        <w:t xml:space="preserve">Barrows, H. S. (1986). A taxonomy of problem-based learning methods.</w:t>
      </w:r>
      <w:r>
        <w:t xml:space="preserve"> </w:t>
      </w:r>
      <w:r>
        <w:rPr>
          <w:iCs/>
          <w:i/>
        </w:rPr>
        <w:t xml:space="preserve">Medical Education, 20</w:t>
      </w:r>
      <w:r>
        <w:t xml:space="preserve">(6), 481–486. 📚</w:t>
      </w:r>
    </w:p>
    <w:p>
      <w:pPr>
        <w:numPr>
          <w:ilvl w:val="0"/>
          <w:numId w:val="1001"/>
        </w:numPr>
        <w:pStyle w:val="Compact"/>
      </w:pPr>
      <w:r>
        <w:t xml:space="preserve">Barrows, H. S., &amp; Tamblyn, R. M. (1980).</w:t>
      </w:r>
      <w:r>
        <w:t xml:space="preserve"> </w:t>
      </w:r>
      <w:r>
        <w:rPr>
          <w:iCs/>
          <w:i/>
        </w:rPr>
        <w:t xml:space="preserve">Problem-based learning: An approach to medical education</w:t>
      </w:r>
      <w:r>
        <w:t xml:space="preserve">. Springer. 📚</w:t>
      </w:r>
    </w:p>
    <w:p>
      <w:pPr>
        <w:numPr>
          <w:ilvl w:val="0"/>
          <w:numId w:val="1001"/>
        </w:numPr>
        <w:pStyle w:val="Compact"/>
      </w:pPr>
      <w:r>
        <w:t xml:space="preserve">Belland, B. R. (2017).</w:t>
      </w:r>
      <w:r>
        <w:t xml:space="preserve"> </w:t>
      </w:r>
      <w:r>
        <w:rPr>
          <w:iCs/>
          <w:i/>
        </w:rPr>
        <w:t xml:space="preserve">Instructional scaffolding in STEM education: Strategies and efficacy evidence</w:t>
      </w:r>
      <w:r>
        <w:t xml:space="preserve">. Springer. ✅</w:t>
      </w:r>
    </w:p>
    <w:p>
      <w:pPr>
        <w:numPr>
          <w:ilvl w:val="0"/>
          <w:numId w:val="1001"/>
        </w:numPr>
        <w:pStyle w:val="Compact"/>
      </w:pPr>
      <w:r>
        <w:t xml:space="preserve">Berland, L. K., &amp; Reiser, B. J. (2009). Making sense of argumentation and explanation.</w:t>
      </w:r>
      <w:r>
        <w:t xml:space="preserve"> </w:t>
      </w:r>
      <w:r>
        <w:rPr>
          <w:iCs/>
          <w:i/>
        </w:rPr>
        <w:t xml:space="preserve">Science Education, 93</w:t>
      </w:r>
      <w:r>
        <w:t xml:space="preserve">(1), 26–55. 📚</w:t>
      </w:r>
    </w:p>
    <w:p>
      <w:pPr>
        <w:numPr>
          <w:ilvl w:val="0"/>
          <w:numId w:val="1001"/>
        </w:numPr>
        <w:pStyle w:val="Compact"/>
      </w:pPr>
      <w:r>
        <w:t xml:space="preserve">Böttcher, F., &amp; Meisert, A. (2011). Argumentation in science education: A model-based framework.</w:t>
      </w:r>
      <w:r>
        <w:t xml:space="preserve"> </w:t>
      </w:r>
      <w:r>
        <w:rPr>
          <w:iCs/>
          <w:i/>
        </w:rPr>
        <w:t xml:space="preserve">Science &amp; Education, 20</w:t>
      </w:r>
      <w:r>
        <w:t xml:space="preserve">(2), 103–140. https://doi.org/10.1007/s11191-010-9304-5 ✅</w:t>
      </w:r>
    </w:p>
    <w:p>
      <w:pPr>
        <w:numPr>
          <w:ilvl w:val="0"/>
          <w:numId w:val="1001"/>
        </w:numPr>
        <w:pStyle w:val="Compact"/>
      </w:pPr>
      <w:r>
        <w:t xml:space="preserve">Brennan, K., &amp; Resnick, M. (2012). New frameworks for studying and assessing the development of computational thinking.</w:t>
      </w:r>
      <w:r>
        <w:t xml:space="preserve"> </w:t>
      </w:r>
      <w:r>
        <w:rPr>
          <w:iCs/>
          <w:i/>
        </w:rPr>
        <w:t xml:space="preserve">Paper presented at the Annual Meeting of the American Educational Research Association</w:t>
      </w:r>
      <w:r>
        <w:t xml:space="preserve">, Vancouver. 📚</w:t>
      </w:r>
    </w:p>
    <w:p>
      <w:pPr>
        <w:numPr>
          <w:ilvl w:val="0"/>
          <w:numId w:val="1001"/>
        </w:numPr>
        <w:pStyle w:val="Compact"/>
      </w:pPr>
      <w:r>
        <w:t xml:space="preserve">Brown, J. S., Collins, A., &amp; Duguid, P. (1989). Situated cognition and the culture of learning.</w:t>
      </w:r>
      <w:r>
        <w:t xml:space="preserve"> </w:t>
      </w:r>
      <w:r>
        <w:rPr>
          <w:iCs/>
          <w:i/>
        </w:rPr>
        <w:t xml:space="preserve">Educational Researcher, 18</w:t>
      </w:r>
      <w:r>
        <w:t xml:space="preserve">(1), 32–42. 📚</w:t>
      </w:r>
    </w:p>
    <w:p>
      <w:pPr>
        <w:numPr>
          <w:ilvl w:val="0"/>
          <w:numId w:val="1001"/>
        </w:numPr>
        <w:pStyle w:val="Compact"/>
      </w:pPr>
      <w:r>
        <w:t xml:space="preserve">Bybee, R. W. (2013).</w:t>
      </w:r>
      <w:r>
        <w:t xml:space="preserve"> </w:t>
      </w:r>
      <w:r>
        <w:rPr>
          <w:iCs/>
          <w:i/>
        </w:rPr>
        <w:t xml:space="preserve">The case for STEM education: Challenges and opportunities</w:t>
      </w:r>
      <w:r>
        <w:t xml:space="preserve">. NSTA Press. 📚</w:t>
      </w:r>
    </w:p>
    <w:p>
      <w:pPr>
        <w:numPr>
          <w:ilvl w:val="0"/>
          <w:numId w:val="1001"/>
        </w:numPr>
        <w:pStyle w:val="Compact"/>
      </w:pPr>
      <w:r>
        <w:t xml:space="preserve">Caballero, M. D., Kohlmyer, M. A., &amp; Schatz, M. F. (2012). Implementing and assessing computational modeling in introductory mechanics.</w:t>
      </w:r>
      <w:r>
        <w:t xml:space="preserve"> </w:t>
      </w:r>
      <w:r>
        <w:rPr>
          <w:iCs/>
          <w:i/>
        </w:rPr>
        <w:t xml:space="preserve">Physical Review Special Topics – Physics Education Research, 8</w:t>
      </w:r>
      <w:r>
        <w:t xml:space="preserve">, 020106. https://doi.org/10.1103/PhysRevSTPER.8.020106 ✅</w:t>
      </w:r>
    </w:p>
    <w:p>
      <w:pPr>
        <w:numPr>
          <w:ilvl w:val="0"/>
          <w:numId w:val="1001"/>
        </w:numPr>
        <w:pStyle w:val="Compact"/>
      </w:pPr>
      <w:r>
        <w:t xml:space="preserve">Chabay, R., &amp; Sherwood, B. (2008). Computational physics in the introductory calculus-based course.</w:t>
      </w:r>
      <w:r>
        <w:t xml:space="preserve"> </w:t>
      </w:r>
      <w:r>
        <w:rPr>
          <w:iCs/>
          <w:i/>
        </w:rPr>
        <w:t xml:space="preserve">American Journal of Physics, 76</w:t>
      </w:r>
      <w:r>
        <w:t xml:space="preserve">(4), 307–313. 📚</w:t>
      </w:r>
    </w:p>
    <w:p>
      <w:pPr>
        <w:numPr>
          <w:ilvl w:val="0"/>
          <w:numId w:val="1001"/>
        </w:numPr>
        <w:pStyle w:val="Compact"/>
      </w:pPr>
      <w:r>
        <w:t xml:space="preserve">Cho, K.-L., &amp; Jonassen, D. H. (2002). The effects of argumentation scaffolds on argumentation and problem solving.</w:t>
      </w:r>
      <w:r>
        <w:t xml:space="preserve"> </w:t>
      </w:r>
      <w:r>
        <w:rPr>
          <w:iCs/>
          <w:i/>
        </w:rPr>
        <w:t xml:space="preserve">Educational Technology Research and Development, 50</w:t>
      </w:r>
      <w:r>
        <w:t xml:space="preserve">(3), 5–22. https://doi.org/10.1007/BF02505022 ✅</w:t>
      </w:r>
    </w:p>
    <w:p>
      <w:pPr>
        <w:numPr>
          <w:ilvl w:val="0"/>
          <w:numId w:val="1001"/>
        </w:numPr>
        <w:pStyle w:val="Compact"/>
      </w:pPr>
      <w:r>
        <w:t xml:space="preserve">Collins, A., Brown, J. S., &amp; Newman, S. E. (1989). Cognitive apprenticeship: Teaching the crafts of reading, writing, and mathematics. In L. B. Resnick (Ed.),</w:t>
      </w:r>
      <w:r>
        <w:t xml:space="preserve"> </w:t>
      </w:r>
      <w:r>
        <w:rPr>
          <w:iCs/>
          <w:i/>
        </w:rPr>
        <w:t xml:space="preserve">Knowing, learning, and instruction</w:t>
      </w:r>
      <w:r>
        <w:t xml:space="preserve"> </w:t>
      </w:r>
      <w:r>
        <w:t xml:space="preserve">(pp. 453–494). Erlbaum. 📚</w:t>
      </w:r>
    </w:p>
    <w:p>
      <w:pPr>
        <w:numPr>
          <w:ilvl w:val="0"/>
          <w:numId w:val="1001"/>
        </w:numPr>
        <w:pStyle w:val="Compact"/>
      </w:pPr>
      <w:r>
        <w:t xml:space="preserve">Crismond, D. P., &amp; Adams, R. S. (2012). The informed design teaching and learning matrix.</w:t>
      </w:r>
      <w:r>
        <w:t xml:space="preserve"> </w:t>
      </w:r>
      <w:r>
        <w:rPr>
          <w:iCs/>
          <w:i/>
        </w:rPr>
        <w:t xml:space="preserve">Journal of Engineering Education, 101</w:t>
      </w:r>
      <w:r>
        <w:t xml:space="preserve">(4), 738–797. 📚</w:t>
      </w:r>
    </w:p>
    <w:p>
      <w:pPr>
        <w:numPr>
          <w:ilvl w:val="0"/>
          <w:numId w:val="1001"/>
        </w:numPr>
        <w:pStyle w:val="Compact"/>
      </w:pPr>
      <w:r>
        <w:t xml:space="preserve">Dewey, J. (1938).</w:t>
      </w:r>
      <w:r>
        <w:t xml:space="preserve"> </w:t>
      </w:r>
      <w:r>
        <w:rPr>
          <w:iCs/>
          <w:i/>
        </w:rPr>
        <w:t xml:space="preserve">Experience and education</w:t>
      </w:r>
      <w:r>
        <w:t xml:space="preserve">. Macmillan. 📚</w:t>
      </w:r>
    </w:p>
    <w:p>
      <w:pPr>
        <w:numPr>
          <w:ilvl w:val="0"/>
          <w:numId w:val="1001"/>
        </w:numPr>
        <w:pStyle w:val="Compact"/>
      </w:pPr>
      <w:r>
        <w:t xml:space="preserve">Dochy, F., Segers, M., Van den Bossche, P., &amp; Gijbels, D. (2003). Effects of problem-based learning: A meta-analysis.</w:t>
      </w:r>
      <w:r>
        <w:t xml:space="preserve"> </w:t>
      </w:r>
      <w:r>
        <w:rPr>
          <w:iCs/>
          <w:i/>
        </w:rPr>
        <w:t xml:space="preserve">Learning and Instruction, 13</w:t>
      </w:r>
      <w:r>
        <w:t xml:space="preserve">(5), 533–568. 📚</w:t>
      </w:r>
    </w:p>
    <w:p>
      <w:pPr>
        <w:numPr>
          <w:ilvl w:val="0"/>
          <w:numId w:val="1001"/>
        </w:numPr>
        <w:pStyle w:val="Compact"/>
      </w:pPr>
      <w:r>
        <w:t xml:space="preserve">Driver, R., Newton, P., &amp; Osborne, J. (2000). Establishing the norms of scientific argumentation in classrooms.</w:t>
      </w:r>
      <w:r>
        <w:t xml:space="preserve"> </w:t>
      </w:r>
      <w:r>
        <w:rPr>
          <w:iCs/>
          <w:i/>
        </w:rPr>
        <w:t xml:space="preserve">Science Education, 84</w:t>
      </w:r>
      <w:r>
        <w:t xml:space="preserve">(3), 287–312. 📚</w:t>
      </w:r>
    </w:p>
    <w:p>
      <w:pPr>
        <w:numPr>
          <w:ilvl w:val="0"/>
          <w:numId w:val="1001"/>
        </w:numPr>
        <w:pStyle w:val="Compact"/>
      </w:pPr>
      <w:r>
        <w:t xml:space="preserve">Dym, C. L., Agogino, A. M., Eris, O., Frey, D. D., &amp; Leifer, L. J. (2005). Engineering design thinking, teaching, and learning.</w:t>
      </w:r>
      <w:r>
        <w:t xml:space="preserve"> </w:t>
      </w:r>
      <w:r>
        <w:rPr>
          <w:iCs/>
          <w:i/>
        </w:rPr>
        <w:t xml:space="preserve">Journal of Engineering Education, 94</w:t>
      </w:r>
      <w:r>
        <w:t xml:space="preserve">(1), 103–120. 📚</w:t>
      </w:r>
    </w:p>
    <w:p>
      <w:pPr>
        <w:numPr>
          <w:ilvl w:val="0"/>
          <w:numId w:val="1001"/>
        </w:numPr>
        <w:pStyle w:val="Compact"/>
      </w:pPr>
      <w:r>
        <w:t xml:space="preserve">English, L. D. (2016). STEM education K-12: Perspectives on integration.</w:t>
      </w:r>
      <w:r>
        <w:t xml:space="preserve"> </w:t>
      </w:r>
      <w:r>
        <w:rPr>
          <w:iCs/>
          <w:i/>
        </w:rPr>
        <w:t xml:space="preserve">International Journal of STEM Education, 3</w:t>
      </w:r>
      <w:r>
        <w:t xml:space="preserve">, Article 3. 📚</w:t>
      </w:r>
    </w:p>
    <w:p>
      <w:pPr>
        <w:numPr>
          <w:ilvl w:val="0"/>
          <w:numId w:val="1001"/>
        </w:numPr>
        <w:pStyle w:val="Compact"/>
      </w:pPr>
      <w:r>
        <w:t xml:space="preserve">Erduran, S., Simon, S., &amp; Osborne, J. (2004). TAPping into argumentation: Developments in the application of Toulmin’s argument pattern for studying science discourse.</w:t>
      </w:r>
      <w:r>
        <w:t xml:space="preserve"> </w:t>
      </w:r>
      <w:r>
        <w:rPr>
          <w:iCs/>
          <w:i/>
        </w:rPr>
        <w:t xml:space="preserve">Science Education, 88</w:t>
      </w:r>
      <w:r>
        <w:t xml:space="preserve">(6), 915–933. 📚</w:t>
      </w:r>
    </w:p>
    <w:p>
      <w:pPr>
        <w:numPr>
          <w:ilvl w:val="0"/>
          <w:numId w:val="1001"/>
        </w:numPr>
        <w:pStyle w:val="Compact"/>
      </w:pPr>
      <w:r>
        <w:t xml:space="preserve">Gilbert, J. K. (2004). Models and modelling: Routes to more authentic science education.</w:t>
      </w:r>
      <w:r>
        <w:t xml:space="preserve"> </w:t>
      </w:r>
      <w:r>
        <w:rPr>
          <w:iCs/>
          <w:i/>
        </w:rPr>
        <w:t xml:space="preserve">International Journal of Science and Mathematics Education, 2</w:t>
      </w:r>
      <w:r>
        <w:t xml:space="preserve">(2), 115–130. 📚</w:t>
      </w:r>
    </w:p>
    <w:p>
      <w:pPr>
        <w:numPr>
          <w:ilvl w:val="0"/>
          <w:numId w:val="1001"/>
        </w:numPr>
        <w:pStyle w:val="Compact"/>
      </w:pPr>
      <w:r>
        <w:t xml:space="preserve">Gilbert, J. K., &amp; Justi, R. (2016).</w:t>
      </w:r>
      <w:r>
        <w:t xml:space="preserve"> </w:t>
      </w:r>
      <w:r>
        <w:rPr>
          <w:iCs/>
          <w:i/>
        </w:rPr>
        <w:t xml:space="preserve">Modelling-based teaching in science education</w:t>
      </w:r>
      <w:r>
        <w:t xml:space="preserve">. Springer. 📚</w:t>
      </w:r>
    </w:p>
    <w:p>
      <w:pPr>
        <w:numPr>
          <w:ilvl w:val="0"/>
          <w:numId w:val="1001"/>
        </w:numPr>
        <w:pStyle w:val="Compact"/>
      </w:pPr>
      <w:r>
        <w:t xml:space="preserve">Halloun, I. A., &amp; Hestenes, D. (1987). Modeling instruction in mechanics.</w:t>
      </w:r>
      <w:r>
        <w:t xml:space="preserve"> </w:t>
      </w:r>
      <w:r>
        <w:rPr>
          <w:iCs/>
          <w:i/>
        </w:rPr>
        <w:t xml:space="preserve">American Journal of Physics, 55</w:t>
      </w:r>
      <w:r>
        <w:t xml:space="preserve">(5), 455–462. ✅</w:t>
      </w:r>
    </w:p>
    <w:p>
      <w:pPr>
        <w:numPr>
          <w:ilvl w:val="0"/>
          <w:numId w:val="1001"/>
        </w:numPr>
        <w:pStyle w:val="Compact"/>
      </w:pPr>
      <w:r>
        <w:t xml:space="preserve">Hestenes, D. (1987). Toward a modeling theory of physics instruction.</w:t>
      </w:r>
      <w:r>
        <w:t xml:space="preserve"> </w:t>
      </w:r>
      <w:r>
        <w:rPr>
          <w:iCs/>
          <w:i/>
        </w:rPr>
        <w:t xml:space="preserve">American Journal of Physics, 55</w:t>
      </w:r>
      <w:r>
        <w:t xml:space="preserve">(5), 440–454. https://doi.org/10.1119/1.15129 ✅</w:t>
      </w:r>
    </w:p>
    <w:p>
      <w:pPr>
        <w:numPr>
          <w:ilvl w:val="0"/>
          <w:numId w:val="1001"/>
        </w:numPr>
        <w:pStyle w:val="Compact"/>
      </w:pPr>
      <w:r>
        <w:t xml:space="preserve">Hmelo-Silver, C. E., Duncan, R. G., &amp; Chinn, C. A. (2007). Scaffolding and achievement in problem-based and inquiry learning: A response to Kirschner, Sweller, and Clark (2006).</w:t>
      </w:r>
      <w:r>
        <w:t xml:space="preserve"> </w:t>
      </w:r>
      <w:r>
        <w:rPr>
          <w:iCs/>
          <w:i/>
        </w:rPr>
        <w:t xml:space="preserve">Educational Psychologist, 42</w:t>
      </w:r>
      <w:r>
        <w:t xml:space="preserve">(2), 99–107. 📚</w:t>
      </w:r>
    </w:p>
    <w:p>
      <w:pPr>
        <w:numPr>
          <w:ilvl w:val="0"/>
          <w:numId w:val="1001"/>
        </w:numPr>
        <w:pStyle w:val="Compact"/>
      </w:pPr>
      <w:r>
        <w:t xml:space="preserve">Jonassen, D. H. (2000). Toward a design theory of problem solving.</w:t>
      </w:r>
      <w:r>
        <w:t xml:space="preserve"> </w:t>
      </w:r>
      <w:r>
        <w:rPr>
          <w:iCs/>
          <w:i/>
        </w:rPr>
        <w:t xml:space="preserve">Educational Technology Research and Development, 48</w:t>
      </w:r>
      <w:r>
        <w:t xml:space="preserve">(4), 63–85. 📚</w:t>
      </w:r>
    </w:p>
    <w:p>
      <w:pPr>
        <w:numPr>
          <w:ilvl w:val="0"/>
          <w:numId w:val="1001"/>
        </w:numPr>
        <w:pStyle w:val="Compact"/>
      </w:pPr>
      <w:r>
        <w:t xml:space="preserve">Joyce, B., Weil, M., &amp; Calhoun, E. (2015).</w:t>
      </w:r>
      <w:r>
        <w:t xml:space="preserve"> </w:t>
      </w:r>
      <w:r>
        <w:rPr>
          <w:iCs/>
          <w:i/>
        </w:rPr>
        <w:t xml:space="preserve">Models of teaching</w:t>
      </w:r>
      <w:r>
        <w:t xml:space="preserve"> </w:t>
      </w:r>
      <w:r>
        <w:t xml:space="preserve">(9th ed.). Pearson. 📚</w:t>
      </w:r>
    </w:p>
    <w:p>
      <w:pPr>
        <w:numPr>
          <w:ilvl w:val="0"/>
          <w:numId w:val="1001"/>
        </w:numPr>
        <w:pStyle w:val="Compact"/>
      </w:pPr>
      <w:r>
        <w:t xml:space="preserve">Kirschner, P. A., Sweller, J., &amp; Clark, R. E. (2006). Why minimal guidance during instruction does not work.</w:t>
      </w:r>
      <w:r>
        <w:t xml:space="preserve"> </w:t>
      </w:r>
      <w:r>
        <w:rPr>
          <w:iCs/>
          <w:i/>
        </w:rPr>
        <w:t xml:space="preserve">Educational Psychologist, 41</w:t>
      </w:r>
      <w:r>
        <w:t xml:space="preserve">(2), 75–86. 📚</w:t>
      </w:r>
    </w:p>
    <w:p>
      <w:pPr>
        <w:numPr>
          <w:ilvl w:val="0"/>
          <w:numId w:val="1001"/>
        </w:numPr>
        <w:pStyle w:val="Compact"/>
      </w:pPr>
      <w:r>
        <w:t xml:space="preserve">Korkmaz, Ö., Çakir, R., &amp; Özden, M. Y. (2017). A validity and reliability study of the computational thinking scales (CTS).</w:t>
      </w:r>
      <w:r>
        <w:t xml:space="preserve"> </w:t>
      </w:r>
      <w:r>
        <w:rPr>
          <w:iCs/>
          <w:i/>
        </w:rPr>
        <w:t xml:space="preserve">Computers in Human Behavior, 72</w:t>
      </w:r>
      <w:r>
        <w:t xml:space="preserve">, 558–569. 📚</w:t>
      </w:r>
    </w:p>
    <w:p>
      <w:pPr>
        <w:numPr>
          <w:ilvl w:val="0"/>
          <w:numId w:val="1001"/>
        </w:numPr>
        <w:pStyle w:val="Compact"/>
      </w:pPr>
      <w:r>
        <w:t xml:space="preserve">Kuhn, D. (1993). Science as argument: Implications for teaching and learning scientific thinking.</w:t>
      </w:r>
      <w:r>
        <w:t xml:space="preserve"> </w:t>
      </w:r>
      <w:r>
        <w:rPr>
          <w:iCs/>
          <w:i/>
        </w:rPr>
        <w:t xml:space="preserve">Science Education, 77</w:t>
      </w:r>
      <w:r>
        <w:t xml:space="preserve">(3), 319–337. 📚</w:t>
      </w:r>
    </w:p>
    <w:p>
      <w:pPr>
        <w:numPr>
          <w:ilvl w:val="0"/>
          <w:numId w:val="1001"/>
        </w:numPr>
        <w:pStyle w:val="Compact"/>
      </w:pPr>
      <w:r>
        <w:t xml:space="preserve">Lave, J., &amp; Wenger, E. (1991).</w:t>
      </w:r>
      <w:r>
        <w:t xml:space="preserve"> </w:t>
      </w:r>
      <w:r>
        <w:rPr>
          <w:iCs/>
          <w:i/>
        </w:rPr>
        <w:t xml:space="preserve">Situated learning: Legitimate peripheral participation</w:t>
      </w:r>
      <w:r>
        <w:t xml:space="preserve">. Cambridge University Press. 📚</w:t>
      </w:r>
    </w:p>
    <w:p>
      <w:pPr>
        <w:numPr>
          <w:ilvl w:val="0"/>
          <w:numId w:val="1001"/>
        </w:numPr>
        <w:pStyle w:val="Compact"/>
      </w:pPr>
      <w:r>
        <w:t xml:space="preserve">Louca, L. T., &amp; Zacharia, Z. C. (2012). Modeling-based learning in science education: Cognitive, metacognitive, social, material and epistemological contributions.</w:t>
      </w:r>
      <w:r>
        <w:t xml:space="preserve"> </w:t>
      </w:r>
      <w:r>
        <w:rPr>
          <w:iCs/>
          <w:i/>
        </w:rPr>
        <w:t xml:space="preserve">Educational Review, 64</w:t>
      </w:r>
      <w:r>
        <w:t xml:space="preserve">(4), 471–492. ✅ (cek nomor terbitan)</w:t>
      </w:r>
    </w:p>
    <w:p>
      <w:pPr>
        <w:numPr>
          <w:ilvl w:val="0"/>
          <w:numId w:val="1001"/>
        </w:numPr>
        <w:pStyle w:val="Compact"/>
      </w:pPr>
      <w:r>
        <w:t xml:space="preserve">McKenney, S., &amp; Reeves, T. C. (2019).</w:t>
      </w:r>
      <w:r>
        <w:t xml:space="preserve"> </w:t>
      </w:r>
      <w:r>
        <w:rPr>
          <w:iCs/>
          <w:i/>
        </w:rPr>
        <w:t xml:space="preserve">Conducting educational design research</w:t>
      </w:r>
      <w:r>
        <w:t xml:space="preserve"> </w:t>
      </w:r>
      <w:r>
        <w:t xml:space="preserve">(2nd ed.). Routledge. 📚</w:t>
      </w:r>
    </w:p>
    <w:p>
      <w:pPr>
        <w:numPr>
          <w:ilvl w:val="0"/>
          <w:numId w:val="1001"/>
        </w:numPr>
        <w:pStyle w:val="Compact"/>
      </w:pPr>
      <w:r>
        <w:t xml:space="preserve">McNeill, K. L., &amp; Krajcik, J. (2012).</w:t>
      </w:r>
      <w:r>
        <w:t xml:space="preserve"> </w:t>
      </w:r>
      <w:r>
        <w:rPr>
          <w:iCs/>
          <w:i/>
        </w:rPr>
        <w:t xml:space="preserve">Supporting grade 5–8 students in constructing explanations in science: The claim, evidence, and reasoning framework for talk and writing</w:t>
      </w:r>
      <w:r>
        <w:t xml:space="preserve">. Pearson. 📚</w:t>
      </w:r>
    </w:p>
    <w:p>
      <w:pPr>
        <w:numPr>
          <w:ilvl w:val="0"/>
          <w:numId w:val="1001"/>
        </w:numPr>
        <w:pStyle w:val="Compact"/>
      </w:pPr>
      <w:r>
        <w:t xml:space="preserve">Mendonça, P. C. C., &amp; Justi, R. (2013). The relationships between modelling and argumentation from the perspective of the model of modelling diagram.</w:t>
      </w:r>
      <w:r>
        <w:t xml:space="preserve"> </w:t>
      </w:r>
      <w:r>
        <w:rPr>
          <w:iCs/>
          <w:i/>
        </w:rPr>
        <w:t xml:space="preserve">International Journal of Science Education, 35</w:t>
      </w:r>
      <w:r>
        <w:t xml:space="preserve">(14), 2407–2434. ✅</w:t>
      </w:r>
    </w:p>
    <w:p>
      <w:pPr>
        <w:numPr>
          <w:ilvl w:val="0"/>
          <w:numId w:val="1001"/>
        </w:numPr>
        <w:pStyle w:val="Compact"/>
      </w:pPr>
      <w:r>
        <w:t xml:space="preserve">Moore, T. J., Glancy, A. W., Tank, K. M., Kersten, J. A., Smith, K. A., &amp; Stohlmann, M. S. (2014). A framework for quality K-12 engineering education.</w:t>
      </w:r>
      <w:r>
        <w:t xml:space="preserve"> </w:t>
      </w:r>
      <w:r>
        <w:rPr>
          <w:iCs/>
          <w:i/>
        </w:rPr>
        <w:t xml:space="preserve">Journal of Pre-College Engineering Education Research, 4</w:t>
      </w:r>
      <w:r>
        <w:t xml:space="preserve">(1), 1–13. 📚</w:t>
      </w:r>
    </w:p>
    <w:p>
      <w:pPr>
        <w:numPr>
          <w:ilvl w:val="0"/>
          <w:numId w:val="1001"/>
        </w:numPr>
        <w:pStyle w:val="Compact"/>
      </w:pPr>
      <w:r>
        <w:t xml:space="preserve">National Academy of Engineering &amp; National Research Council. (2014).</w:t>
      </w:r>
      <w:r>
        <w:t xml:space="preserve"> </w:t>
      </w:r>
      <w:r>
        <w:rPr>
          <w:iCs/>
          <w:i/>
        </w:rPr>
        <w:t xml:space="preserve">STEM integration in K-12 education: Status, prospects, and an agenda for research</w:t>
      </w:r>
      <w:r>
        <w:t xml:space="preserve"> </w:t>
      </w:r>
      <w:r>
        <w:t xml:space="preserve">(M. Honey, G. Pearson, &amp; H. Schweingruber, Eds.). National Academies Press. 📚</w:t>
      </w:r>
    </w:p>
    <w:p>
      <w:pPr>
        <w:numPr>
          <w:ilvl w:val="0"/>
          <w:numId w:val="1001"/>
        </w:numPr>
        <w:pStyle w:val="Compact"/>
      </w:pPr>
      <w:r>
        <w:t xml:space="preserve">National Research Council. (2012).</w:t>
      </w:r>
      <w:r>
        <w:t xml:space="preserve"> </w:t>
      </w:r>
      <w:r>
        <w:rPr>
          <w:iCs/>
          <w:i/>
        </w:rPr>
        <w:t xml:space="preserve">A framework for K-12 science education: Practices, crosscutting concepts, and core ideas</w:t>
      </w:r>
      <w:r>
        <w:t xml:space="preserve">. National Academies Press. 📚</w:t>
      </w:r>
    </w:p>
    <w:p>
      <w:pPr>
        <w:numPr>
          <w:ilvl w:val="0"/>
          <w:numId w:val="1001"/>
        </w:numPr>
        <w:pStyle w:val="Compact"/>
      </w:pPr>
      <w:r>
        <w:t xml:space="preserve">Nieveen, N. (1999). Prototyping to reach product quality. In J. van den Akker, R. M. Branch, K. Gustafson, N. Nieveen, &amp; T. Plomp (Eds.),</w:t>
      </w:r>
      <w:r>
        <w:t xml:space="preserve"> </w:t>
      </w:r>
      <w:r>
        <w:rPr>
          <w:iCs/>
          <w:i/>
        </w:rPr>
        <w:t xml:space="preserve">Design approaches and tools in education and training</w:t>
      </w:r>
      <w:r>
        <w:t xml:space="preserve"> </w:t>
      </w:r>
      <w:r>
        <w:t xml:space="preserve">(pp. 125–135). Kluwer. 📚</w:t>
      </w:r>
    </w:p>
    <w:p>
      <w:pPr>
        <w:numPr>
          <w:ilvl w:val="0"/>
          <w:numId w:val="1001"/>
        </w:numPr>
        <w:pStyle w:val="Compact"/>
      </w:pPr>
      <w:r>
        <w:t xml:space="preserve">Novitra, F., Abdullah, M. N. S., Özdemir, E., Riyasni, S., Emiliannur, Festiyed, &amp; Metra, P. (2025). Design of Dual Space Inquiry framework for facilitating flexible learning in digital technology era.</w:t>
      </w:r>
      <w:r>
        <w:t xml:space="preserve"> </w:t>
      </w:r>
      <w:r>
        <w:rPr>
          <w:iCs/>
          <w:i/>
        </w:rPr>
        <w:t xml:space="preserve">International Journal of Educational Research Open, 8</w:t>
      </w:r>
      <w:r>
        <w:t xml:space="preserve">, 100424. https://doi.org/10.1016/j.ijedro.2024.100424 ✅ (dari file Bapak)</w:t>
      </w:r>
    </w:p>
    <w:p>
      <w:pPr>
        <w:numPr>
          <w:ilvl w:val="0"/>
          <w:numId w:val="1001"/>
        </w:numPr>
        <w:pStyle w:val="Compact"/>
      </w:pPr>
      <w:r>
        <w:t xml:space="preserve">Osborne, J. (2014). Teaching scientific practices: Meeting the challenge of change.</w:t>
      </w:r>
      <w:r>
        <w:t xml:space="preserve"> </w:t>
      </w:r>
      <w:r>
        <w:rPr>
          <w:iCs/>
          <w:i/>
        </w:rPr>
        <w:t xml:space="preserve">Journal of Science Teacher Education, 25</w:t>
      </w:r>
      <w:r>
        <w:t xml:space="preserve">(2), 177–196. 📚</w:t>
      </w:r>
    </w:p>
    <w:p>
      <w:pPr>
        <w:numPr>
          <w:ilvl w:val="0"/>
          <w:numId w:val="1001"/>
        </w:numPr>
        <w:pStyle w:val="Compact"/>
      </w:pPr>
      <w:r>
        <w:t xml:space="preserve">Papert, S. (1980).</w:t>
      </w:r>
      <w:r>
        <w:t xml:space="preserve"> </w:t>
      </w:r>
      <w:r>
        <w:rPr>
          <w:iCs/>
          <w:i/>
        </w:rPr>
        <w:t xml:space="preserve">Mindstorms: Children, computers, and powerful ideas</w:t>
      </w:r>
      <w:r>
        <w:t xml:space="preserve">. Basic Books. 📚</w:t>
      </w:r>
    </w:p>
    <w:p>
      <w:pPr>
        <w:numPr>
          <w:ilvl w:val="0"/>
          <w:numId w:val="1001"/>
        </w:numPr>
        <w:pStyle w:val="Compact"/>
      </w:pPr>
      <w:r>
        <w:t xml:space="preserve">Passmore, C. M., &amp; Svoboda, J. (2012). Exploring opportunities for argumentation in modelling classrooms.</w:t>
      </w:r>
      <w:r>
        <w:t xml:space="preserve"> </w:t>
      </w:r>
      <w:r>
        <w:rPr>
          <w:iCs/>
          <w:i/>
        </w:rPr>
        <w:t xml:space="preserve">International Journal of Science Education, 34</w:t>
      </w:r>
      <w:r>
        <w:t xml:space="preserve">(10), 1535–1554. https://doi.org/10.1080/09500693.2011.577842 ✅</w:t>
      </w:r>
    </w:p>
    <w:p>
      <w:pPr>
        <w:numPr>
          <w:ilvl w:val="0"/>
          <w:numId w:val="1001"/>
        </w:numPr>
        <w:pStyle w:val="Compact"/>
      </w:pPr>
      <w:r>
        <w:t xml:space="preserve">Plomp, T., &amp; Nieveen, N. (Eds.). (2013).</w:t>
      </w:r>
      <w:r>
        <w:t xml:space="preserve"> </w:t>
      </w:r>
      <w:r>
        <w:rPr>
          <w:iCs/>
          <w:i/>
        </w:rPr>
        <w:t xml:space="preserve">Educational design research</w:t>
      </w:r>
      <w:r>
        <w:t xml:space="preserve">. SLO – Netherlands Institute for Curriculum Development. 📚</w:t>
      </w:r>
    </w:p>
    <w:p>
      <w:pPr>
        <w:numPr>
          <w:ilvl w:val="0"/>
          <w:numId w:val="1001"/>
        </w:numPr>
        <w:pStyle w:val="Compact"/>
      </w:pPr>
      <w:r>
        <w:t xml:space="preserve">Quintana, C., Reiser, B. J., Davis, E. A., Krajcik, J., Fretz, E., Duncan, R. G., Kyza, E., Edelson, D., &amp; Soloway, E. (2004). A scaffolding design framework for software to support science inquiry.</w:t>
      </w:r>
      <w:r>
        <w:t xml:space="preserve"> </w:t>
      </w:r>
      <w:r>
        <w:rPr>
          <w:iCs/>
          <w:i/>
        </w:rPr>
        <w:t xml:space="preserve">Journal of the Learning Sciences, 13</w:t>
      </w:r>
      <w:r>
        <w:t xml:space="preserve">(3), 337–386. 📚</w:t>
      </w:r>
    </w:p>
    <w:p>
      <w:pPr>
        <w:numPr>
          <w:ilvl w:val="0"/>
          <w:numId w:val="1001"/>
        </w:numPr>
        <w:pStyle w:val="Compact"/>
      </w:pPr>
      <w:r>
        <w:t xml:space="preserve">Reiser, B. J. (2004). Scaffolding complex learning: The mechanisms of structuring and problematizing student work.</w:t>
      </w:r>
      <w:r>
        <w:t xml:space="preserve"> </w:t>
      </w:r>
      <w:r>
        <w:rPr>
          <w:iCs/>
          <w:i/>
        </w:rPr>
        <w:t xml:space="preserve">Journal of the Learning Sciences, 13</w:t>
      </w:r>
      <w:r>
        <w:t xml:space="preserve">(3), 273–304. 📚</w:t>
      </w:r>
    </w:p>
    <w:p>
      <w:pPr>
        <w:numPr>
          <w:ilvl w:val="0"/>
          <w:numId w:val="1001"/>
        </w:numPr>
        <w:pStyle w:val="Compact"/>
      </w:pPr>
      <w:r>
        <w:t xml:space="preserve">Román-González, M., Pérez-González, J.-C., &amp; Jiménez-Fernández, C. (2017). Which cognitive abilities underlie computational thinking? Criterion validity of the Computational Thinking Test.</w:t>
      </w:r>
      <w:r>
        <w:t xml:space="preserve"> </w:t>
      </w:r>
      <w:r>
        <w:rPr>
          <w:iCs/>
          <w:i/>
        </w:rPr>
        <w:t xml:space="preserve">Computers in Human Behavior, 72</w:t>
      </w:r>
      <w:r>
        <w:t xml:space="preserve">, 678–691. 📚</w:t>
      </w:r>
    </w:p>
    <w:p>
      <w:pPr>
        <w:numPr>
          <w:ilvl w:val="0"/>
          <w:numId w:val="1001"/>
        </w:numPr>
        <w:pStyle w:val="Compact"/>
      </w:pPr>
      <w:r>
        <w:t xml:space="preserve">Sampson, V., Grooms, J., &amp; Walker, J. P. (2011). Argument-driven inquiry as a way to help students learn how to participate in scientific argumentation and craft written arguments: An exploratory study.</w:t>
      </w:r>
      <w:r>
        <w:t xml:space="preserve"> </w:t>
      </w:r>
      <w:r>
        <w:rPr>
          <w:iCs/>
          <w:i/>
        </w:rPr>
        <w:t xml:space="preserve">Science Education, 95</w:t>
      </w:r>
      <w:r>
        <w:t xml:space="preserve">(2), 217–257. 📚 (cek detail)</w:t>
      </w:r>
    </w:p>
    <w:p>
      <w:pPr>
        <w:numPr>
          <w:ilvl w:val="0"/>
          <w:numId w:val="1001"/>
        </w:numPr>
        <w:pStyle w:val="Compact"/>
      </w:pPr>
      <w:r>
        <w:t xml:space="preserve">Sandoval, W. (2014). Conjecture mapping: An approach to systematic educational design research.</w:t>
      </w:r>
      <w:r>
        <w:t xml:space="preserve"> </w:t>
      </w:r>
      <w:r>
        <w:rPr>
          <w:iCs/>
          <w:i/>
        </w:rPr>
        <w:t xml:space="preserve">Journal of the Learning Sciences, 23</w:t>
      </w:r>
      <w:r>
        <w:t xml:space="preserve">(1), 18–36. https://doi.org/10.1080/10508406.2013.778204 ✅</w:t>
      </w:r>
    </w:p>
    <w:p>
      <w:pPr>
        <w:numPr>
          <w:ilvl w:val="0"/>
          <w:numId w:val="1001"/>
        </w:numPr>
        <w:pStyle w:val="Compact"/>
      </w:pPr>
      <w:r>
        <w:t xml:space="preserve">Schmidt, H. G. (1983). Problem-based learning: Rationale and description.</w:t>
      </w:r>
      <w:r>
        <w:t xml:space="preserve"> </w:t>
      </w:r>
      <w:r>
        <w:rPr>
          <w:iCs/>
          <w:i/>
        </w:rPr>
        <w:t xml:space="preserve">Medical Education, 17</w:t>
      </w:r>
      <w:r>
        <w:t xml:space="preserve">(1), 11–16. 📚</w:t>
      </w:r>
    </w:p>
    <w:p>
      <w:pPr>
        <w:numPr>
          <w:ilvl w:val="0"/>
          <w:numId w:val="1001"/>
        </w:numPr>
        <w:pStyle w:val="Compact"/>
      </w:pPr>
      <w:r>
        <w:t xml:space="preserve">Schwarz, C. V., Reiser, B. J., Davis, E. A., Kenyon, L., Achér, A., Fortus, D., Shwartz, Y., Hug, B., &amp; Krajcik, J. (2009). Developing a learning progression for scientific modeling: Making scientific modeling accessible and meaningful for learners.</w:t>
      </w:r>
      <w:r>
        <w:t xml:space="preserve"> </w:t>
      </w:r>
      <w:r>
        <w:rPr>
          <w:iCs/>
          <w:i/>
        </w:rPr>
        <w:t xml:space="preserve">Journal of Research in Science Teaching, 46</w:t>
      </w:r>
      <w:r>
        <w:t xml:space="preserve">(6), 632–654. 📚</w:t>
      </w:r>
    </w:p>
    <w:p>
      <w:pPr>
        <w:numPr>
          <w:ilvl w:val="0"/>
          <w:numId w:val="1001"/>
        </w:numPr>
        <w:pStyle w:val="Compact"/>
      </w:pPr>
      <w:r>
        <w:t xml:space="preserve">Simon, M. A. (1995). Reconstructing mathematics pedagogy from a constructivist perspective.</w:t>
      </w:r>
      <w:r>
        <w:t xml:space="preserve"> </w:t>
      </w:r>
      <w:r>
        <w:rPr>
          <w:iCs/>
          <w:i/>
        </w:rPr>
        <w:t xml:space="preserve">Journal for Research in Mathematics Education, 26</w:t>
      </w:r>
      <w:r>
        <w:t xml:space="preserve">(2), 114–145. 📚</w:t>
      </w:r>
    </w:p>
    <w:p>
      <w:pPr>
        <w:numPr>
          <w:ilvl w:val="0"/>
          <w:numId w:val="1001"/>
        </w:numPr>
        <w:pStyle w:val="Compact"/>
      </w:pPr>
      <w:r>
        <w:t xml:space="preserve">Strobel, J., &amp; van Barneveld, A. (2009). When is PBL more effective? A meta-synthesis of meta-analyses comparing PBL to conventional classrooms.</w:t>
      </w:r>
      <w:r>
        <w:t xml:space="preserve"> </w:t>
      </w:r>
      <w:r>
        <w:rPr>
          <w:iCs/>
          <w:i/>
        </w:rPr>
        <w:t xml:space="preserve">Interdisciplinary Journal of Problem-Based Learning, 3</w:t>
      </w:r>
      <w:r>
        <w:t xml:space="preserve">(1), 44–58. 📚</w:t>
      </w:r>
    </w:p>
    <w:p>
      <w:pPr>
        <w:numPr>
          <w:ilvl w:val="0"/>
          <w:numId w:val="1001"/>
        </w:numPr>
        <w:pStyle w:val="Compact"/>
      </w:pPr>
      <w:r>
        <w:t xml:space="preserve">Upmeier zu Belzen, A., Krüger, D., &amp; van Driel, J. (Eds.). (2019).</w:t>
      </w:r>
      <w:r>
        <w:t xml:space="preserve"> </w:t>
      </w:r>
      <w:r>
        <w:rPr>
          <w:iCs/>
          <w:i/>
        </w:rPr>
        <w:t xml:space="preserve">Towards a competence-based view on models and modeling in science education</w:t>
      </w:r>
      <w:r>
        <w:t xml:space="preserve">. Springer. https://doi.org/10.1007/978-3-030-30255-9 ✅</w:t>
      </w:r>
    </w:p>
    <w:p>
      <w:pPr>
        <w:numPr>
          <w:ilvl w:val="0"/>
          <w:numId w:val="1001"/>
        </w:numPr>
        <w:pStyle w:val="Compact"/>
      </w:pPr>
      <w:r>
        <w:t xml:space="preserve">Vasquez, J. A., Sneider, C., &amp; Comer, M. (2013).</w:t>
      </w:r>
      <w:r>
        <w:t xml:space="preserve"> </w:t>
      </w:r>
      <w:r>
        <w:rPr>
          <w:iCs/>
          <w:i/>
        </w:rPr>
        <w:t xml:space="preserve">STEM lesson essentials, grades 3–8: Integrating science, technology, engineering, and mathematics</w:t>
      </w:r>
      <w:r>
        <w:t xml:space="preserve">. Heinemann. 📚</w:t>
      </w:r>
    </w:p>
    <w:p>
      <w:pPr>
        <w:numPr>
          <w:ilvl w:val="0"/>
          <w:numId w:val="1001"/>
        </w:numPr>
        <w:pStyle w:val="Compact"/>
      </w:pPr>
      <w:r>
        <w:t xml:space="preserve">Vygotsky, L. S. (1978).</w:t>
      </w:r>
      <w:r>
        <w:t xml:space="preserve"> </w:t>
      </w:r>
      <w:r>
        <w:rPr>
          <w:iCs/>
          <w:i/>
        </w:rPr>
        <w:t xml:space="preserve">Mind in society: The development of higher psychological processes</w:t>
      </w:r>
      <w:r>
        <w:t xml:space="preserve">. Harvard University Press. 📚</w:t>
      </w:r>
    </w:p>
    <w:p>
      <w:pPr>
        <w:numPr>
          <w:ilvl w:val="0"/>
          <w:numId w:val="1001"/>
        </w:numPr>
        <w:pStyle w:val="Compact"/>
      </w:pPr>
      <w:r>
        <w:t xml:space="preserve">Wells, M., Hestenes, D., &amp; Swackhamer, G. (1995). A modeling method for high school physics instruction.</w:t>
      </w:r>
      <w:r>
        <w:t xml:space="preserve"> </w:t>
      </w:r>
      <w:r>
        <w:rPr>
          <w:iCs/>
          <w:i/>
        </w:rPr>
        <w:t xml:space="preserve">American Journal of Physics, 63</w:t>
      </w:r>
      <w:r>
        <w:t xml:space="preserve">(7), 606–619. 📚</w:t>
      </w:r>
    </w:p>
    <w:p>
      <w:pPr>
        <w:numPr>
          <w:ilvl w:val="0"/>
          <w:numId w:val="1001"/>
        </w:numPr>
        <w:pStyle w:val="Compact"/>
      </w:pPr>
      <w:r>
        <w:t xml:space="preserve">Wilensky, U., &amp; Resnick, M. (1999). Thinking in levels: A dynamic systems approach to making sense of the world.</w:t>
      </w:r>
      <w:r>
        <w:t xml:space="preserve"> </w:t>
      </w:r>
      <w:r>
        <w:rPr>
          <w:iCs/>
          <w:i/>
        </w:rPr>
        <w:t xml:space="preserve">Journal of Science Education and Technology, 8</w:t>
      </w:r>
      <w:r>
        <w:t xml:space="preserve">(1), 3–19. 📚</w:t>
      </w:r>
    </w:p>
    <w:p>
      <w:pPr>
        <w:numPr>
          <w:ilvl w:val="0"/>
          <w:numId w:val="1001"/>
        </w:numPr>
        <w:pStyle w:val="Compact"/>
      </w:pPr>
      <w:r>
        <w:t xml:space="preserve">Wood, D., Bruner, J. S., &amp; Ross, G. (1976). The role of tutoring in problem solving.</w:t>
      </w:r>
      <w:r>
        <w:t xml:space="preserve"> </w:t>
      </w:r>
      <w:r>
        <w:rPr>
          <w:iCs/>
          <w:i/>
        </w:rPr>
        <w:t xml:space="preserve">Journal of Child Psychology and Psychiatry, 17</w:t>
      </w:r>
      <w:r>
        <w:t xml:space="preserve">(2), 89–100. 📚</w:t>
      </w:r>
    </w:p>
    <w:bookmarkEnd w:id="39"/>
    <w:bookmarkEnd w:id="40"/>
    <w:sect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Kajian Teori Variabel Bebas dan Rancangan Model Pembelajaran Hipotetik</dc:title>
  <dc:creator/>
  <dc:language>id</dc:language>
  <cp:keywords/>
  <dcterms:created xsi:type="dcterms:W3CDTF">2026-10-12T10:13:59Z</dcterms:created>
  <dcterms:modified xsi:type="dcterms:W3CDTF">2026-10-12T10:13:59Z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Disertasi 3.0 — bahan berpikir lanjutan setelah Latar Belakang</vt:lpwstr>
  </property>
</Properties>
</file>