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02"/>
        <w:gridCol w:w="4802"/>
      </w:tblGrid>
      <w:tr>
        <w:tc>
          <w:tcPr>
            <w:tcW w:type="dxa" w:w="2016"/>
            <w:shd w:fill="F8FAFC"/>
            <w:tcMar>
              <w:top w:w="160" w:type="dxa"/>
              <w:bottom w:w="160" w:type="dxa"/>
              <w:left w:w="160" w:type="dxa"/>
              <w:right w:w="100" w:type="dxa"/>
            </w:tcMar>
          </w:tcPr>
          <w:p>
            <w:pPr>
              <w:spacing w:before="80" w:after="0"/>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simklinik_logo.png"/>
                          <pic:cNvPicPr/>
                        </pic:nvPicPr>
                        <pic:blipFill>
                          <a:blip r:embed="rId9"/>
                          <a:stretch>
                            <a:fillRect/>
                          </a:stretch>
                        </pic:blipFill>
                        <pic:spPr>
                          <a:xfrm>
                            <a:off x="0" y="0"/>
                            <a:ext cx="1051560" cy="1051560"/>
                          </a:xfrm>
                          <a:prstGeom prst="rect"/>
                        </pic:spPr>
                      </pic:pic>
                    </a:graphicData>
                  </a:graphic>
                </wp:inline>
              </w:drawing>
            </w:r>
          </w:p>
        </w:tc>
        <w:tc>
          <w:tcPr>
            <w:tcW w:type="dxa" w:w="7344"/>
            <w:shd w:fill="F8FAFC"/>
            <w:tcMar>
              <w:top w:w="160" w:type="dxa"/>
              <w:bottom w:w="160" w:type="dxa"/>
              <w:left w:w="100" w:type="dxa"/>
              <w:right w:w="160" w:type="dxa"/>
            </w:tcMar>
          </w:tcPr>
          <w:p>
            <w:pPr>
              <w:spacing w:before="40" w:after="40"/>
            </w:pPr>
            <w:r>
              <w:rPr>
                <w:rFonts w:ascii="Arial" w:hAnsi="Arial"/>
                <w:b/>
                <w:color w:val="0F766E"/>
                <w:sz w:val="22"/>
              </w:rPr>
              <w:t>SIMKLINIK INDONESIA</w:t>
              <w:br/>
            </w:r>
            <w:r>
              <w:rPr>
                <w:rFonts w:ascii="Arial" w:hAnsi="Arial"/>
                <w:b/>
                <w:color w:val="0F172A"/>
                <w:sz w:val="28"/>
              </w:rPr>
              <w:t>PETUNJUK TEKNIS SISTEM REKAM MEDIS ELEKTRONIK (RME)</w:t>
              <w:br/>
            </w:r>
            <w:r>
              <w:rPr>
                <w:rFonts w:ascii="Arial" w:hAnsi="Arial"/>
                <w:color w:val="64748B"/>
                <w:sz w:val="17"/>
              </w:rPr>
              <w:t>Panduan Operasional Workflow Pelayanan Klinis Terintegrasi: Pendaftaran s/d Billing</w:t>
              <w:br/>
              <w:t>Standar Permenkes No. 24 Tahun 2022 &amp; Interoperabilitas SATUSEHAT</w:t>
            </w:r>
          </w:p>
        </w:tc>
      </w:tr>
    </w:tbl>
    <w:p>
      <w:pPr>
        <w:spacing w:before="160" w:after="160"/>
      </w:pPr>
    </w:p>
    <w:p>
      <w:pPr>
        <w:spacing w:before="0" w:after="200"/>
      </w:pPr>
      <w:r>
        <w:rPr>
          <w:b/>
          <w:sz w:val="17"/>
        </w:rPr>
        <w:t xml:space="preserve">Klasifikasi Dokumen: </w:t>
      </w:r>
      <w:r>
        <w:rPr>
          <w:sz w:val="17"/>
        </w:rPr>
        <w:t xml:space="preserve">Standard Operating Procedure (SOP) &amp; Juknis RME   |   </w:t>
      </w:r>
      <w:r>
        <w:rPr>
          <w:b/>
          <w:sz w:val="17"/>
        </w:rPr>
        <w:t xml:space="preserve">Versi Sistem: </w:t>
      </w:r>
      <w:r>
        <w:rPr>
          <w:sz w:val="17"/>
        </w:rPr>
        <w:t>SIMKLINIK Enterprise v2.0 (Bridge KFA &amp; SATUSEHAT)</w:t>
      </w:r>
    </w:p>
    <w:p>
      <w:pPr>
        <w:pStyle w:val="Heading1"/>
        <w:keepNext/>
        <w:spacing w:before="280" w:after="80"/>
      </w:pPr>
      <w:r>
        <w:rPr>
          <w:b/>
          <w:color w:val="0F766E"/>
          <w:sz w:val="32"/>
        </w:rPr>
        <w:t>Alur Pelayanan Pasien Rawat Jalan (Workflow Overview)</w:t>
      </w:r>
    </w:p>
    <w:p>
      <w:pPr>
        <w:spacing w:line="288" w:lineRule="auto" w:after="160"/>
      </w:pPr>
      <w:r>
        <w:rPr>
          <w:sz w:val="20"/>
        </w:rPr>
        <w:t>Petunjuk teknis ini menjelaskan tata kelola operasional dan panduan langkah demi langkah implementasi Rekam Medis Elektronik (RME) mulai dari kedatangan pasien hingga penyelesaian tagihan (Billing). Sistem SIMKLINIK dirancang terintegrasi berdasarkan prinsip one-entry multi-use, audit-trail compliance, dan validasi data terstandar.</w:t>
      </w:r>
    </w:p>
    <w:tbl>
      <w:tblPr>
        <w:tblW w:type="auto" w:w="0"/>
        <w:jc w:val="center"/>
        <w:tblLayout w:type="fixed"/>
        <w:tblLook w:firstColumn="1" w:firstRow="1" w:lastColumn="0" w:lastRow="0" w:noHBand="0" w:noVBand="1" w:val="04A0"/>
      </w:tblPr>
      <w:tblGrid>
        <w:gridCol w:w="3202"/>
        <w:gridCol w:w="3202"/>
        <w:gridCol w:w="3202"/>
      </w:tblGrid>
      <w:tr>
        <w:tc>
          <w:tcPr>
            <w:tcW w:type="dxa" w:w="1152"/>
            <w:shd w:fill="0F766E"/>
            <w:tcMar>
              <w:top w:w="100" w:type="dxa"/>
              <w:bottom w:w="100" w:type="dxa"/>
              <w:left w:w="120" w:type="dxa"/>
              <w:right w:w="120" w:type="dxa"/>
            </w:tcMar>
          </w:tcPr>
          <w:p>
            <w:pPr>
              <w:jc w:val="center"/>
            </w:pPr>
            <w:r>
              <w:rPr>
                <w:b/>
                <w:color w:val="FFFFFF"/>
                <w:sz w:val="18"/>
              </w:rPr>
              <w:t>Tahap</w:t>
            </w:r>
          </w:p>
        </w:tc>
        <w:tc>
          <w:tcPr>
            <w:tcW w:type="dxa" w:w="3600"/>
            <w:shd w:fill="0F766E"/>
            <w:tcMar>
              <w:top w:w="100" w:type="dxa"/>
              <w:bottom w:w="100" w:type="dxa"/>
              <w:left w:w="120" w:type="dxa"/>
              <w:right w:w="120" w:type="dxa"/>
            </w:tcMar>
          </w:tcPr>
          <w:p>
            <w:pPr>
              <w:jc w:val="left"/>
            </w:pPr>
            <w:r>
              <w:rPr>
                <w:b/>
                <w:color w:val="FFFFFF"/>
                <w:sz w:val="18"/>
              </w:rPr>
              <w:t>Modul / Layanan</w:t>
            </w:r>
          </w:p>
        </w:tc>
        <w:tc>
          <w:tcPr>
            <w:tcW w:type="dxa" w:w="4608"/>
            <w:shd w:fill="0F766E"/>
            <w:tcMar>
              <w:top w:w="100" w:type="dxa"/>
              <w:bottom w:w="100" w:type="dxa"/>
              <w:left w:w="120" w:type="dxa"/>
              <w:right w:w="120" w:type="dxa"/>
            </w:tcMar>
          </w:tcPr>
          <w:p>
            <w:pPr>
              <w:jc w:val="left"/>
            </w:pPr>
            <w:r>
              <w:rPr>
                <w:b/>
                <w:color w:val="FFFFFF"/>
                <w:sz w:val="18"/>
              </w:rPr>
              <w:t>Output Utama Sistem</w:t>
            </w:r>
          </w:p>
        </w:tc>
      </w:tr>
      <w:tr>
        <w:tc>
          <w:tcPr>
            <w:tcW w:type="dxa" w:w="1152"/>
            <w:shd w:fill="FFFFFF"/>
            <w:tcMar>
              <w:top w:w="90" w:type="dxa"/>
              <w:bottom w:w="90" w:type="dxa"/>
              <w:left w:w="120" w:type="dxa"/>
              <w:right w:w="120" w:type="dxa"/>
            </w:tcMar>
          </w:tcPr>
          <w:p>
            <w:pPr>
              <w:spacing w:before="40" w:after="40"/>
              <w:jc w:val="center"/>
            </w:pPr>
            <w:r>
              <w:rPr>
                <w:sz w:val="18"/>
              </w:rPr>
              <w:t>1</w:t>
            </w:r>
          </w:p>
        </w:tc>
        <w:tc>
          <w:tcPr>
            <w:tcW w:type="dxa" w:w="3600"/>
            <w:shd w:fill="FFFFFF"/>
            <w:tcMar>
              <w:top w:w="90" w:type="dxa"/>
              <w:bottom w:w="90" w:type="dxa"/>
              <w:left w:w="120" w:type="dxa"/>
              <w:right w:w="120" w:type="dxa"/>
            </w:tcMar>
          </w:tcPr>
          <w:p>
            <w:pPr>
              <w:spacing w:before="40" w:after="40"/>
            </w:pPr>
            <w:r>
              <w:rPr>
                <w:b/>
                <w:sz w:val="18"/>
              </w:rPr>
              <w:t>Pendaftaran &amp; Registrasi</w:t>
            </w:r>
          </w:p>
        </w:tc>
        <w:tc>
          <w:tcPr>
            <w:tcW w:type="dxa" w:w="4608"/>
            <w:shd w:fill="FFFFFF"/>
            <w:tcMar>
              <w:top w:w="90" w:type="dxa"/>
              <w:bottom w:w="90" w:type="dxa"/>
              <w:left w:w="120" w:type="dxa"/>
              <w:right w:w="120" w:type="dxa"/>
            </w:tcMar>
          </w:tcPr>
          <w:p>
            <w:pPr>
              <w:spacing w:before="40" w:after="40"/>
            </w:pPr>
            <w:r>
              <w:rPr>
                <w:sz w:val="18"/>
              </w:rPr>
              <w:t>Nomor Rekam Medis (RM), Nomor Visit, Tiket Antrian Poliklinik</w:t>
            </w:r>
          </w:p>
        </w:tc>
      </w:tr>
      <w:tr>
        <w:tc>
          <w:tcPr>
            <w:tcW w:type="dxa" w:w="1152"/>
            <w:shd w:fill="F8FAFC"/>
            <w:tcMar>
              <w:top w:w="90" w:type="dxa"/>
              <w:bottom w:w="90" w:type="dxa"/>
              <w:left w:w="120" w:type="dxa"/>
              <w:right w:w="120" w:type="dxa"/>
            </w:tcMar>
          </w:tcPr>
          <w:p>
            <w:pPr>
              <w:spacing w:before="40" w:after="40"/>
              <w:jc w:val="center"/>
            </w:pPr>
            <w:r>
              <w:rPr>
                <w:sz w:val="18"/>
              </w:rPr>
              <w:t>2</w:t>
            </w:r>
          </w:p>
        </w:tc>
        <w:tc>
          <w:tcPr>
            <w:tcW w:type="dxa" w:w="3600"/>
            <w:shd w:fill="F8FAFC"/>
            <w:tcMar>
              <w:top w:w="90" w:type="dxa"/>
              <w:bottom w:w="90" w:type="dxa"/>
              <w:left w:w="120" w:type="dxa"/>
              <w:right w:w="120" w:type="dxa"/>
            </w:tcMar>
          </w:tcPr>
          <w:p>
            <w:pPr>
              <w:spacing w:before="40" w:after="40"/>
            </w:pPr>
            <w:r>
              <w:rPr>
                <w:b/>
                <w:sz w:val="18"/>
              </w:rPr>
              <w:t>Antrian &amp; Triase</w:t>
            </w:r>
          </w:p>
        </w:tc>
        <w:tc>
          <w:tcPr>
            <w:tcW w:type="dxa" w:w="4608"/>
            <w:shd w:fill="F8FAFC"/>
            <w:tcMar>
              <w:top w:w="90" w:type="dxa"/>
              <w:bottom w:w="90" w:type="dxa"/>
              <w:left w:w="120" w:type="dxa"/>
              <w:right w:w="120" w:type="dxa"/>
            </w:tcMar>
          </w:tcPr>
          <w:p>
            <w:pPr>
              <w:spacing w:before="40" w:after="40"/>
            </w:pPr>
            <w:r>
              <w:rPr>
                <w:sz w:val="18"/>
              </w:rPr>
              <w:t>Status Antrian 'Dipanggil', Data Tanda Vital (TTV) &amp; Skrining Visual Awal</w:t>
            </w:r>
          </w:p>
        </w:tc>
      </w:tr>
      <w:tr>
        <w:tc>
          <w:tcPr>
            <w:tcW w:type="dxa" w:w="1152"/>
            <w:shd w:fill="FFFFFF"/>
            <w:tcMar>
              <w:top w:w="90" w:type="dxa"/>
              <w:bottom w:w="90" w:type="dxa"/>
              <w:left w:w="120" w:type="dxa"/>
              <w:right w:w="120" w:type="dxa"/>
            </w:tcMar>
          </w:tcPr>
          <w:p>
            <w:pPr>
              <w:spacing w:before="40" w:after="40"/>
              <w:jc w:val="center"/>
            </w:pPr>
            <w:r>
              <w:rPr>
                <w:sz w:val="18"/>
              </w:rPr>
              <w:t>3</w:t>
            </w:r>
          </w:p>
        </w:tc>
        <w:tc>
          <w:tcPr>
            <w:tcW w:type="dxa" w:w="3600"/>
            <w:shd w:fill="FFFFFF"/>
            <w:tcMar>
              <w:top w:w="90" w:type="dxa"/>
              <w:bottom w:w="90" w:type="dxa"/>
              <w:left w:w="120" w:type="dxa"/>
              <w:right w:w="120" w:type="dxa"/>
            </w:tcMar>
          </w:tcPr>
          <w:p>
            <w:pPr>
              <w:spacing w:before="40" w:after="40"/>
            </w:pPr>
            <w:r>
              <w:rPr>
                <w:b/>
                <w:sz w:val="18"/>
              </w:rPr>
              <w:t>Pemeriksaan Medis (EMR)</w:t>
            </w:r>
          </w:p>
        </w:tc>
        <w:tc>
          <w:tcPr>
            <w:tcW w:type="dxa" w:w="4608"/>
            <w:shd w:fill="FFFFFF"/>
            <w:tcMar>
              <w:top w:w="90" w:type="dxa"/>
              <w:bottom w:w="90" w:type="dxa"/>
              <w:left w:w="120" w:type="dxa"/>
              <w:right w:w="120" w:type="dxa"/>
            </w:tcMar>
          </w:tcPr>
          <w:p>
            <w:pPr>
              <w:spacing w:before="40" w:after="40"/>
            </w:pPr>
            <w:r>
              <w:rPr>
                <w:sz w:val="18"/>
              </w:rPr>
              <w:t>Anamnesis, Pemeriksaan Fisik Terstruktur, Diagnosis ICD-10, TTE Dokter</w:t>
            </w:r>
          </w:p>
        </w:tc>
      </w:tr>
      <w:tr>
        <w:tc>
          <w:tcPr>
            <w:tcW w:type="dxa" w:w="1152"/>
            <w:shd w:fill="F8FAFC"/>
            <w:tcMar>
              <w:top w:w="90" w:type="dxa"/>
              <w:bottom w:w="90" w:type="dxa"/>
              <w:left w:w="120" w:type="dxa"/>
              <w:right w:w="120" w:type="dxa"/>
            </w:tcMar>
          </w:tcPr>
          <w:p>
            <w:pPr>
              <w:spacing w:before="40" w:after="40"/>
              <w:jc w:val="center"/>
            </w:pPr>
            <w:r>
              <w:rPr>
                <w:sz w:val="18"/>
              </w:rPr>
              <w:t>4</w:t>
            </w:r>
          </w:p>
        </w:tc>
        <w:tc>
          <w:tcPr>
            <w:tcW w:type="dxa" w:w="3600"/>
            <w:shd w:fill="F8FAFC"/>
            <w:tcMar>
              <w:top w:w="90" w:type="dxa"/>
              <w:bottom w:w="90" w:type="dxa"/>
              <w:left w:w="120" w:type="dxa"/>
              <w:right w:w="120" w:type="dxa"/>
            </w:tcMar>
          </w:tcPr>
          <w:p>
            <w:pPr>
              <w:spacing w:before="40" w:after="40"/>
            </w:pPr>
            <w:r>
              <w:rPr>
                <w:b/>
                <w:sz w:val="18"/>
              </w:rPr>
              <w:t>Pemeriksaan Penunjang</w:t>
            </w:r>
          </w:p>
        </w:tc>
        <w:tc>
          <w:tcPr>
            <w:tcW w:type="dxa" w:w="4608"/>
            <w:shd w:fill="F8FAFC"/>
            <w:tcMar>
              <w:top w:w="90" w:type="dxa"/>
              <w:bottom w:w="90" w:type="dxa"/>
              <w:left w:w="120" w:type="dxa"/>
              <w:right w:w="120" w:type="dxa"/>
            </w:tcMar>
          </w:tcPr>
          <w:p>
            <w:pPr>
              <w:spacing w:before="40" w:after="40"/>
            </w:pPr>
            <w:r>
              <w:rPr>
                <w:sz w:val="18"/>
              </w:rPr>
              <w:t>Order Lab / Radiologi Terkirim, Lembar Hasil Terverifikasi &amp; Terintegrasi</w:t>
            </w:r>
          </w:p>
        </w:tc>
      </w:tr>
      <w:tr>
        <w:tc>
          <w:tcPr>
            <w:tcW w:type="dxa" w:w="1152"/>
            <w:shd w:fill="FFFFFF"/>
            <w:tcMar>
              <w:top w:w="90" w:type="dxa"/>
              <w:bottom w:w="90" w:type="dxa"/>
              <w:left w:w="120" w:type="dxa"/>
              <w:right w:w="120" w:type="dxa"/>
            </w:tcMar>
          </w:tcPr>
          <w:p>
            <w:pPr>
              <w:spacing w:before="40" w:after="40"/>
              <w:jc w:val="center"/>
            </w:pPr>
            <w:r>
              <w:rPr>
                <w:sz w:val="18"/>
              </w:rPr>
              <w:t>5</w:t>
            </w:r>
          </w:p>
        </w:tc>
        <w:tc>
          <w:tcPr>
            <w:tcW w:type="dxa" w:w="3600"/>
            <w:shd w:fill="FFFFFF"/>
            <w:tcMar>
              <w:top w:w="90" w:type="dxa"/>
              <w:bottom w:w="90" w:type="dxa"/>
              <w:left w:w="120" w:type="dxa"/>
              <w:right w:w="120" w:type="dxa"/>
            </w:tcMar>
          </w:tcPr>
          <w:p>
            <w:pPr>
              <w:spacing w:before="40" w:after="40"/>
            </w:pPr>
            <w:r>
              <w:rPr>
                <w:b/>
                <w:sz w:val="18"/>
              </w:rPr>
              <w:t>Peresepan &amp; Farmasi</w:t>
            </w:r>
          </w:p>
        </w:tc>
        <w:tc>
          <w:tcPr>
            <w:tcW w:type="dxa" w:w="4608"/>
            <w:shd w:fill="FFFFFF"/>
            <w:tcMar>
              <w:top w:w="90" w:type="dxa"/>
              <w:bottom w:w="90" w:type="dxa"/>
              <w:left w:w="120" w:type="dxa"/>
              <w:right w:w="120" w:type="dxa"/>
            </w:tcMar>
          </w:tcPr>
          <w:p>
            <w:pPr>
              <w:spacing w:before="40" w:after="40"/>
            </w:pPr>
            <w:r>
              <w:rPr>
                <w:sz w:val="18"/>
              </w:rPr>
              <w:t>E-Resep Masuk Farmasi, Etiket Obat Terbit, Dispensing &amp; Monitoring Stok</w:t>
            </w:r>
          </w:p>
        </w:tc>
      </w:tr>
      <w:tr>
        <w:tc>
          <w:tcPr>
            <w:tcW w:type="dxa" w:w="1152"/>
            <w:shd w:fill="F8FAFC"/>
            <w:tcMar>
              <w:top w:w="90" w:type="dxa"/>
              <w:bottom w:w="90" w:type="dxa"/>
              <w:left w:w="120" w:type="dxa"/>
              <w:right w:w="120" w:type="dxa"/>
            </w:tcMar>
          </w:tcPr>
          <w:p>
            <w:pPr>
              <w:spacing w:before="40" w:after="40"/>
              <w:jc w:val="center"/>
            </w:pPr>
            <w:r>
              <w:rPr>
                <w:sz w:val="18"/>
              </w:rPr>
              <w:t>6</w:t>
            </w:r>
          </w:p>
        </w:tc>
        <w:tc>
          <w:tcPr>
            <w:tcW w:type="dxa" w:w="3600"/>
            <w:shd w:fill="F8FAFC"/>
            <w:tcMar>
              <w:top w:w="90" w:type="dxa"/>
              <w:bottom w:w="90" w:type="dxa"/>
              <w:left w:w="120" w:type="dxa"/>
              <w:right w:w="120" w:type="dxa"/>
            </w:tcMar>
          </w:tcPr>
          <w:p>
            <w:pPr>
              <w:spacing w:before="40" w:after="40"/>
            </w:pPr>
            <w:r>
              <w:rPr>
                <w:b/>
                <w:sz w:val="18"/>
              </w:rPr>
              <w:t>Kasir &amp; Billing</w:t>
            </w:r>
          </w:p>
        </w:tc>
        <w:tc>
          <w:tcPr>
            <w:tcW w:type="dxa" w:w="4608"/>
            <w:shd w:fill="F8FAFC"/>
            <w:tcMar>
              <w:top w:w="90" w:type="dxa"/>
              <w:bottom w:w="90" w:type="dxa"/>
              <w:left w:w="120" w:type="dxa"/>
              <w:right w:w="120" w:type="dxa"/>
            </w:tcMar>
          </w:tcPr>
          <w:p>
            <w:pPr>
              <w:spacing w:before="40" w:after="40"/>
            </w:pPr>
            <w:r>
              <w:rPr>
                <w:sz w:val="18"/>
              </w:rPr>
              <w:t>Invoice Otomatis, Kuitansi Pembayaran Lunas, Sinkronisasi Data SATUSEHAT</w:t>
            </w:r>
          </w:p>
        </w:tc>
      </w:tr>
    </w:tbl>
    <w:p>
      <w:pPr>
        <w:spacing w:after="120"/>
      </w:pPr>
    </w:p>
    <w:p>
      <w:pPr>
        <w:pStyle w:val="Heading1"/>
        <w:keepNext/>
        <w:spacing w:before="280" w:after="80"/>
      </w:pPr>
      <w:r>
        <w:rPr>
          <w:b/>
          <w:color w:val="0F766E"/>
          <w:sz w:val="32"/>
        </w:rPr>
        <w:t>1. Pendaftaran &amp; Registrasi Pasien (Front Office)</w:t>
      </w:r>
    </w:p>
    <w:p>
      <w:pPr>
        <w:spacing w:line="288" w:lineRule="auto"/>
      </w:pPr>
      <w:r>
        <w:rPr>
          <w:sz w:val="20"/>
        </w:rPr>
        <w:t>Modul Front Office merupakan pintu gerbang pertama pasien dalam sistem SIMKLINIK. Petugas pendaftaran bertugas memverifikasi identitas, memilih poliklinik tujuan, dan menerbitkan kunjungan (Visit).</w:t>
      </w:r>
    </w:p>
    <w:p>
      <w:pPr>
        <w:pStyle w:val="ListBullet"/>
      </w:pPr>
      <w:r>
        <w:t>Langkah Operasional Pendaftaran Pasien:</w:t>
      </w:r>
    </w:p>
    <w:p>
      <w:pPr>
        <w:pStyle w:val="ListBullet2"/>
        <w:spacing w:after="60"/>
      </w:pPr>
      <w:r>
        <w:rPr>
          <w:sz w:val="19"/>
        </w:rPr>
        <w:t>Identifikasi Pasien: Buka menu Front Office &gt; Pendaftaran. Lakukan pencarian data pasien melalui kolom pencarian menggunakan No. RM, NIK, atau Nama Lengkap.</w:t>
      </w:r>
    </w:p>
    <w:p>
      <w:pPr>
        <w:pStyle w:val="ListBullet2"/>
        <w:spacing w:after="60"/>
      </w:pPr>
      <w:r>
        <w:rPr>
          <w:sz w:val="19"/>
        </w:rPr>
        <w:t>Pasien Baru: Jika data belum terdaftar, klik tombol 'Tambah Pasien Baru'. Isi Nama Lengkap, Tanggal Lahir, Jenis Kelamin, Nomor WhatsApp/HP, dan Alamat.</w:t>
      </w:r>
    </w:p>
    <w:p>
      <w:pPr>
        <w:pStyle w:val="ListBullet2"/>
        <w:spacing w:after="60"/>
      </w:pPr>
      <w:r>
        <w:rPr>
          <w:sz w:val="19"/>
        </w:rPr>
        <w:t>Fitur Dummy NIK: Untuk pasien darurat, lansia, atau bayi yang belum memiliki/membawa e-KTP, sistem menyediakan fitur 'Generate Dummy NIK' otomatis berstandar Kemenkes.</w:t>
      </w:r>
    </w:p>
    <w:p>
      <w:pPr>
        <w:pStyle w:val="ListBullet2"/>
        <w:spacing w:after="60"/>
      </w:pPr>
      <w:r>
        <w:rPr>
          <w:sz w:val="19"/>
        </w:rPr>
        <w:t>Penentuan Penjamin: Pilih jenis pembiayaan pasien (Umum / BPJS Kesehatan / Asuransi Swasta Rekanan).</w:t>
      </w:r>
    </w:p>
    <w:p>
      <w:pPr>
        <w:pStyle w:val="ListBullet2"/>
        <w:spacing w:after="60"/>
      </w:pPr>
      <w:r>
        <w:rPr>
          <w:sz w:val="19"/>
        </w:rPr>
        <w:t>Registrasi Kunjungan (Visit): Pilih Poliklinik tujuan (Poli Umum, Gigi, Spesialis) dan pilih Dokter yang sedang bertugas.</w:t>
      </w:r>
    </w:p>
    <w:p>
      <w:pPr>
        <w:pStyle w:val="ListBullet2"/>
        <w:spacing w:after="60"/>
      </w:pPr>
      <w:r>
        <w:rPr>
          <w:sz w:val="19"/>
        </w:rPr>
        <w:t>Cetak Antrian: Klik 'Simpan &amp; Daftarkan'. Sistem secara otomatis membuat nomor kunjungan (No. Visit) dan memasukkan pasien ke sistem display antrian poli.</w:t>
      </w:r>
    </w:p>
    <w:tbl>
      <w:tblPr>
        <w:tblW w:type="auto" w:w="0"/>
        <w:jc w:val="center"/>
        <w:tblLayout w:type="fixed"/>
        <w:tblLook w:firstColumn="1" w:firstRow="1" w:lastColumn="0" w:lastRow="0" w:noHBand="0" w:noVBand="1" w:val="04A0"/>
      </w:tblPr>
      <w:tblGrid>
        <w:gridCol w:w="9605"/>
      </w:tblGrid>
      <w:tr>
        <w:tc>
          <w:tcPr>
            <w:tcW w:type="dxa" w:w="9360"/>
            <w:shd w:fill="EFF6FF"/>
            <w:tcMar>
              <w:top w:w="120" w:type="dxa"/>
              <w:bottom w:w="120" w:type="dxa"/>
              <w:left w:w="180" w:type="dxa"/>
              <w:right w:w="180" w:type="dxa"/>
            </w:tcMar>
            <w:tcBorders>
              <w:top w:val="none" w:sz="0" w:space="0" w:color="auto"/>
              <w:left w:val="single" w:sz="24" w:space="0" w:color="0284C7"/>
              <w:bottom w:val="none" w:sz="0" w:space="0" w:color="auto"/>
              <w:right w:val="none" w:sz="0" w:space="0" w:color="auto"/>
            </w:tcBorders>
          </w:tcPr>
          <w:p>
            <w:pPr>
              <w:spacing w:before="40" w:after="40" w:line="276" w:lineRule="auto"/>
            </w:pPr>
            <w:r>
              <w:rPr>
                <w:b/>
                <w:color w:val="0F766E"/>
                <w:sz w:val="20"/>
              </w:rPr>
              <w:t xml:space="preserve">📌 Validasi SATUSEHAT Pasien: </w:t>
            </w:r>
            <w:r>
              <w:rPr>
                <w:color w:val="334155"/>
                <w:sz w:val="19"/>
              </w:rPr>
              <w:t>Saat pendaftaran dengan NIK valid, sistem otomatis melakukan verifikasi ID Pasien SATUSEHAT (IHS Number) di latar belakang sehingga rekam medis dapat langsung terhubung ke Kemenkes RI.</w:t>
            </w:r>
          </w:p>
        </w:tc>
      </w:tr>
    </w:tbl>
    <w:p>
      <w:pPr>
        <w:spacing w:before="0" w:after="80"/>
      </w:pPr>
    </w:p>
    <w:p>
      <w:pPr>
        <w:pStyle w:val="Heading1"/>
        <w:keepNext/>
        <w:spacing w:before="280" w:after="80"/>
      </w:pPr>
      <w:r>
        <w:rPr>
          <w:b/>
          <w:color w:val="0F766E"/>
          <w:sz w:val="32"/>
        </w:rPr>
        <w:t>2. Antrian &amp; Triase / Skrining Awal (Nurse Station)</w:t>
      </w:r>
    </w:p>
    <w:p>
      <w:pPr>
        <w:spacing w:line="288" w:lineRule="auto"/>
      </w:pPr>
      <w:r>
        <w:rPr>
          <w:sz w:val="20"/>
        </w:rPr>
        <w:t>Petugas perawat/bidan di Nurse Station memantau antrian poli dan melakukan pemeriksaan tanda-tanda vital sebelum pasien berkonsultasi dengan dokter.</w:t>
      </w:r>
    </w:p>
    <w:p>
      <w:pPr>
        <w:pStyle w:val="ListBullet2"/>
        <w:spacing w:after="60"/>
      </w:pPr>
      <w:r>
        <w:rPr>
          <w:sz w:val="19"/>
        </w:rPr>
        <w:t>Pemanggilan Pasien: Pada menu Front Office &gt; Antrian Poli, klik tombol 'Panggil' untuk menampilkan nomor antrian di layar display poli dan memanggil pasien.</w:t>
      </w:r>
    </w:p>
    <w:p>
      <w:pPr>
        <w:pStyle w:val="ListBullet2"/>
        <w:spacing w:after="60"/>
      </w:pPr>
      <w:r>
        <w:rPr>
          <w:sz w:val="19"/>
        </w:rPr>
        <w:t>Pengukuran Tanda Vital (TTV): Ukur dan masukkan data Tekanan Darah (Sistolik/Diastolik), Frekuensi Nadi, Frekuensi Pernapasan, Suhu Tubuh, SpO2, Berat Badan, dan Tinggi Badan.</w:t>
      </w:r>
    </w:p>
    <w:p>
      <w:pPr>
        <w:pStyle w:val="ListBullet2"/>
        <w:spacing w:after="60"/>
      </w:pPr>
      <w:r>
        <w:rPr>
          <w:sz w:val="19"/>
        </w:rPr>
        <w:t>Kalkulasi IMT Otomatis: Sistem secara langsung menghitung Indeks Massa Tubuh (IMT) dan menampilkan kategori gizi (Kurus, Normal, Overweight, Obesitas).</w:t>
      </w:r>
    </w:p>
    <w:p>
      <w:pPr>
        <w:pStyle w:val="ListBullet2"/>
        <w:spacing w:after="60"/>
      </w:pPr>
      <w:r>
        <w:rPr>
          <w:sz w:val="19"/>
        </w:rPr>
        <w:t>Skrining Riwayat Alergi: Catat riwayat alergi obat, makanan, atau bahan medis lainnya. Peringatan alergi akan otomatis muncul dengan badge merah di lembar EMR dokter.</w:t>
      </w:r>
    </w:p>
    <w:p>
      <w:pPr>
        <w:pStyle w:val="Heading1"/>
        <w:keepNext/>
        <w:spacing w:before="280" w:after="80"/>
      </w:pPr>
      <w:r>
        <w:rPr>
          <w:b/>
          <w:color w:val="0F766E"/>
          <w:sz w:val="32"/>
        </w:rPr>
        <w:t>3. Pemeriksaan Medis &amp; Rekam Medis Elektronik (Dokter / EMR)</w:t>
      </w:r>
    </w:p>
    <w:p>
      <w:pPr>
        <w:spacing w:line="288" w:lineRule="auto"/>
      </w:pPr>
      <w:r>
        <w:rPr>
          <w:sz w:val="20"/>
        </w:rPr>
        <w:t>EMR SIMKLINIK mengadopsi format SOAP (Subjective, Objective, Assessment, Plan) yang terstandar dengan integrasi kode ICD-10, ICD-9-CM, odontogram digital, serta Tanda Tangan Elektronik (TTE).</w:t>
      </w:r>
    </w:p>
    <w:p>
      <w:pPr>
        <w:pStyle w:val="ListBullet2"/>
        <w:spacing w:after="60"/>
      </w:pPr>
      <w:r>
        <w:rPr>
          <w:sz w:val="19"/>
        </w:rPr>
        <w:t>Anamnesis (Subjective): Catat Keluhan Utama, Riwayat Penyakit Sekarang (RPS), Riwayat Penyakit Dahulu (RPD), dan Riwayat Pengobatan.</w:t>
      </w:r>
    </w:p>
    <w:p>
      <w:pPr>
        <w:pStyle w:val="ListBullet2"/>
        <w:spacing w:after="60"/>
      </w:pPr>
      <w:r>
        <w:rPr>
          <w:sz w:val="19"/>
        </w:rPr>
        <w:t>Pemeriksaan Fisik Terstruktur (Objective): Catat temuan fisik sistemik (Kepala, Thorax, Abdomen, Ekstremitas). Untuk Poli Gigi, lengkapi peta odontogram digital 32 gigi dengan kode restorasi/kelainan FDI.</w:t>
      </w:r>
    </w:p>
    <w:p>
      <w:pPr>
        <w:pStyle w:val="ListBullet2"/>
        <w:spacing w:after="60"/>
      </w:pPr>
      <w:r>
        <w:rPr>
          <w:sz w:val="19"/>
        </w:rPr>
        <w:t>Diagnosis Medis (Assessment): Pilih diagnosis primer dan sekunder menggunakan pencarian ICD-10 terverifikasi (kode dan deskripsi resmi Kemenkes).</w:t>
      </w:r>
    </w:p>
    <w:p>
      <w:pPr>
        <w:pStyle w:val="ListBullet2"/>
        <w:spacing w:after="60"/>
      </w:pPr>
      <w:r>
        <w:rPr>
          <w:sz w:val="19"/>
        </w:rPr>
        <w:t>Rencana Terapi (Plan): Masukkan instruksi medis, prosedur tindakan (ICD-9-CM), anjuran diet, serta jadwal kontrol lanjutan.</w:t>
      </w:r>
    </w:p>
    <w:p>
      <w:pPr>
        <w:pStyle w:val="ListBullet2"/>
        <w:spacing w:after="60"/>
      </w:pPr>
      <w:r>
        <w:rPr>
          <w:sz w:val="19"/>
        </w:rPr>
        <w:t>Penguncian &amp; TTE Dokter: Setelah data lengkap, klik 'Simpan &amp; Tanda Tangan TTE'. Dokumen rekam medis akan terkunci aman (tamper-proof) dengan sertifikat digital.</w:t>
      </w:r>
    </w:p>
    <w:tbl>
      <w:tblPr>
        <w:tblW w:type="auto" w:w="0"/>
        <w:jc w:val="center"/>
        <w:tblLayout w:type="fixed"/>
        <w:tblLook w:firstColumn="1" w:firstRow="1" w:lastColumn="0" w:lastRow="0" w:noHBand="0" w:noVBand="1" w:val="04A0"/>
      </w:tblPr>
      <w:tblGrid>
        <w:gridCol w:w="9605"/>
      </w:tblGrid>
      <w:tr>
        <w:tc>
          <w:tcPr>
            <w:tcW w:type="dxa" w:w="9360"/>
            <w:shd w:fill="FEF3C7"/>
            <w:tcMar>
              <w:top w:w="120" w:type="dxa"/>
              <w:bottom w:w="120" w:type="dxa"/>
              <w:left w:w="180" w:type="dxa"/>
              <w:right w:w="180" w:type="dxa"/>
            </w:tcMar>
            <w:tcBorders>
              <w:top w:val="none" w:sz="0" w:space="0" w:color="auto"/>
              <w:left w:val="single" w:sz="24" w:space="0" w:color="D97706"/>
              <w:bottom w:val="none" w:sz="0" w:space="0" w:color="auto"/>
              <w:right w:val="none" w:sz="0" w:space="0" w:color="auto"/>
            </w:tcBorders>
          </w:tcPr>
          <w:p>
            <w:pPr>
              <w:spacing w:before="40" w:after="40" w:line="276" w:lineRule="auto"/>
            </w:pPr>
            <w:r>
              <w:rPr>
                <w:b/>
                <w:color w:val="0F766E"/>
                <w:sz w:val="20"/>
              </w:rPr>
              <w:t xml:space="preserve">📌 Integritas Data Rekam Medis: </w:t>
            </w:r>
            <w:r>
              <w:rPr>
                <w:color w:val="334155"/>
                <w:sz w:val="19"/>
              </w:rPr>
              <w:t>Rekam Medis Elektronik yang telah ditandatangani secara digital tidak dapat diubah sembarangan tanpa mencatat riwayat versi (versioning audit log) demi kepatuhan hukum Permenkes No. 24/2022.</w:t>
            </w:r>
          </w:p>
        </w:tc>
      </w:tr>
    </w:tbl>
    <w:p>
      <w:pPr>
        <w:spacing w:before="0" w:after="80"/>
      </w:pPr>
    </w:p>
    <w:p>
      <w:pPr>
        <w:pStyle w:val="Heading1"/>
        <w:keepNext/>
        <w:spacing w:before="280" w:after="80"/>
      </w:pPr>
      <w:r>
        <w:rPr>
          <w:b/>
          <w:color w:val="0F766E"/>
          <w:sz w:val="32"/>
        </w:rPr>
        <w:t>4. Pemeriksaan Penunjang (Laboratorium &amp; Radiologi)</w:t>
      </w:r>
    </w:p>
    <w:p>
      <w:pPr>
        <w:spacing w:line="288" w:lineRule="auto"/>
      </w:pPr>
      <w:r>
        <w:rPr>
          <w:sz w:val="20"/>
        </w:rPr>
        <w:t>Jika pasien memerlukan investigasi laboratorium atau pencitraan radiologi, order dilakukan langsung dari lembar EMR tanpa berkas kertas manual.</w:t>
      </w:r>
    </w:p>
    <w:p>
      <w:pPr>
        <w:pStyle w:val="ListBullet2"/>
        <w:spacing w:after="60"/>
      </w:pPr>
      <w:r>
        <w:rPr>
          <w:sz w:val="19"/>
        </w:rPr>
        <w:t>Order Penunjang dari EMR: Dokter mencentang paket/parameter laboratorium (Darah Lengkap, Gula Darah, Kolesterol, dsb.) atau rontgen radiologi pada tab Penunjang.</w:t>
      </w:r>
    </w:p>
    <w:p>
      <w:pPr>
        <w:pStyle w:val="ListBullet2"/>
        <w:spacing w:after="60"/>
      </w:pPr>
      <w:r>
        <w:rPr>
          <w:sz w:val="19"/>
        </w:rPr>
        <w:t>Penerimaan Order di Unit Penunjang: Petugas analis lab/radiografer menerima notifikasi order, mencetak label spesimen, dan melakukan tindakan pengambilan sampel.</w:t>
      </w:r>
    </w:p>
    <w:p>
      <w:pPr>
        <w:pStyle w:val="ListBullet2"/>
        <w:spacing w:after="60"/>
      </w:pPr>
      <w:r>
        <w:rPr>
          <w:sz w:val="19"/>
        </w:rPr>
        <w:t>Input &amp; Validasi Hasil: Analis memasukkan nilai hasil pemeriksaan. Sistem otomatis memberi penanda (flag) 'Tinggi' (High), 'Rendah' (Low), atau 'Kritis' (Panic Value).</w:t>
      </w:r>
    </w:p>
    <w:p>
      <w:pPr>
        <w:pStyle w:val="ListBullet2"/>
        <w:spacing w:after="60"/>
      </w:pPr>
      <w:r>
        <w:rPr>
          <w:sz w:val="19"/>
        </w:rPr>
        <w:t>Hasil Terintegrasi Real-Time: Begitu divalidasi oleh penanggung jawab lab, hasil secara otomatis muncul di layar dokter pemeriksa dan siap dicetak sebagai lampiran resume medis.</w:t>
      </w:r>
    </w:p>
    <w:p>
      <w:pPr>
        <w:pStyle w:val="Heading1"/>
        <w:keepNext/>
        <w:spacing w:before="280" w:after="80"/>
      </w:pPr>
      <w:r>
        <w:rPr>
          <w:b/>
          <w:color w:val="0F766E"/>
          <w:sz w:val="32"/>
        </w:rPr>
        <w:t>5. Peresepan Elektronik &amp; Pelayanan Farmasi (Dispensing)</w:t>
      </w:r>
    </w:p>
    <w:p>
      <w:pPr>
        <w:spacing w:line="288" w:lineRule="auto"/>
      </w:pPr>
      <w:r>
        <w:rPr>
          <w:sz w:val="20"/>
        </w:rPr>
        <w:t>Alur peresepan digital menghubungkan dokter langsung ke instalasi farmasi klinik dengan proteksi stok real-time dan standar Kamus Farmasi &amp; Alkes (KFA).</w:t>
      </w:r>
    </w:p>
    <w:p>
      <w:pPr>
        <w:pStyle w:val="ListBullet2"/>
        <w:spacing w:after="60"/>
      </w:pPr>
      <w:r>
        <w:rPr>
          <w:sz w:val="19"/>
        </w:rPr>
        <w:t>E-Prescribing (Dokter): Dokter memilih obat dari master KFA, menentukan jumlah, dosis, aturan pakai, frekuensi, dan instruksi khusus (sebelum/sesudah makan).</w:t>
      </w:r>
    </w:p>
    <w:p>
      <w:pPr>
        <w:pStyle w:val="ListBullet2"/>
        <w:spacing w:after="60"/>
      </w:pPr>
      <w:r>
        <w:rPr>
          <w:sz w:val="19"/>
        </w:rPr>
        <w:t>Penerimaan Resep di Farmasi: Apoteker/Asisten Apoteker membuka menu Farmasi &gt; Order Resep. Status awal: 'Ordered'.</w:t>
      </w:r>
    </w:p>
    <w:p>
      <w:pPr>
        <w:pStyle w:val="ListBullet2"/>
        <w:spacing w:after="60"/>
      </w:pPr>
      <w:r>
        <w:rPr>
          <w:sz w:val="19"/>
        </w:rPr>
        <w:t>Telaah Resep &amp; Verifikasi: Lakukan kajian klinis dan administratif resep. Sistem memeriksa kecukupan stok fisik obat secara real-time.</w:t>
      </w:r>
    </w:p>
    <w:p>
      <w:pPr>
        <w:pStyle w:val="ListBullet2"/>
        <w:spacing w:after="60"/>
      </w:pPr>
      <w:r>
        <w:rPr>
          <w:sz w:val="19"/>
        </w:rPr>
        <w:t>Penyiapan &amp; Peracikan: Ubah status menjadi 'Preparing'. Petugas menyiapkan sediaan obat atau meracik puyer/kapsul sesuai komposisi.</w:t>
      </w:r>
    </w:p>
    <w:p>
      <w:pPr>
        <w:pStyle w:val="ListBullet2"/>
        <w:spacing w:after="60"/>
      </w:pPr>
      <w:r>
        <w:rPr>
          <w:sz w:val="19"/>
        </w:rPr>
        <w:t>Cetak Etiket Elektronik: Cetak etiket obat otomatis berisi identitas pasien, nama obat, nomor resep, aturan pakai, dan tanggal kedaluwarsa.</w:t>
      </w:r>
    </w:p>
    <w:p>
      <w:pPr>
        <w:pStyle w:val="ListBullet2"/>
        <w:spacing w:after="60"/>
      </w:pPr>
      <w:r>
        <w:rPr>
          <w:sz w:val="19"/>
        </w:rPr>
        <w:t>Penyerahan Obat (Dispensing): Panggil pasien, verifikasi identitas (2 indikator: Nama &amp; Tgl Lahir), serahkan obat, dan berikan Konseling, Informasi, dan Edukasi (KIE). Status obat berubah menjadi 'Dispensed'.</w:t>
      </w:r>
    </w:p>
    <w:p>
      <w:pPr>
        <w:pStyle w:val="Heading1"/>
        <w:keepNext/>
        <w:spacing w:before="280" w:after="80"/>
      </w:pPr>
      <w:r>
        <w:rPr>
          <w:b/>
          <w:color w:val="0F766E"/>
          <w:sz w:val="32"/>
        </w:rPr>
        <w:t>6. Kasir, Pembayaran &amp; Penagihan (Billing)</w:t>
      </w:r>
    </w:p>
    <w:p>
      <w:pPr>
        <w:spacing w:line="288" w:lineRule="auto"/>
      </w:pPr>
      <w:r>
        <w:rPr>
          <w:sz w:val="20"/>
        </w:rPr>
        <w:t>Modul Kasir mengumpulkan seluruh komponen biaya pelayanan pasien menjadi satu invoice terpadu tanpa risiko biaya tertinggal (loss revenue).</w:t>
      </w:r>
    </w:p>
    <w:p>
      <w:pPr>
        <w:pStyle w:val="ListBullet2"/>
        <w:spacing w:after="60"/>
      </w:pPr>
      <w:r>
        <w:rPr>
          <w:sz w:val="19"/>
        </w:rPr>
        <w:t>Agregasi Biaya Otomatis: Masuk ke menu Kasir. Klik nama pasien pada antrian kasir. Sistem otomatis menjumlahkan: Jasa Konsultasi Dokter, Tindakan Medis, Biaya Lab/Radiologi, dan Biaya Resep Obat.</w:t>
      </w:r>
    </w:p>
    <w:p>
      <w:pPr>
        <w:pStyle w:val="ListBullet2"/>
        <w:spacing w:after="60"/>
      </w:pPr>
      <w:r>
        <w:rPr>
          <w:sz w:val="19"/>
        </w:rPr>
        <w:t>Penyesuaian Diskon / Asuransi: Kasir dapat memasukkan potongan harga promosi, subsidi penjamin BPJS, atau klaim asuransi rekanan klinik.</w:t>
      </w:r>
    </w:p>
    <w:p>
      <w:pPr>
        <w:pStyle w:val="ListBullet2"/>
        <w:spacing w:after="60"/>
      </w:pPr>
      <w:r>
        <w:rPr>
          <w:sz w:val="19"/>
        </w:rPr>
        <w:t>Pilihan Metode Pembayaran: Pilih metode pelunasan: Tunai (Cash), Transfer Bank, EDC (Debit/Kredit), atau QRIS dinamis.</w:t>
      </w:r>
    </w:p>
    <w:p>
      <w:pPr>
        <w:pStyle w:val="ListBullet2"/>
        <w:spacing w:after="60"/>
      </w:pPr>
      <w:r>
        <w:rPr>
          <w:sz w:val="19"/>
        </w:rPr>
        <w:t>Penerbitan Kuitansi &amp; Faktur: Klik 'Simpan Pembayaran &amp; Lunas'. Cetak Kuitansi Resmi dan Faktur Rincian Biaya untuk diserahkan kepada pasien.</w:t>
      </w:r>
    </w:p>
    <w:p>
      <w:pPr>
        <w:pStyle w:val="ListBullet2"/>
        <w:spacing w:after="60"/>
      </w:pPr>
      <w:r>
        <w:rPr>
          <w:sz w:val="19"/>
        </w:rPr>
        <w:t>Penyelesaian Kunjungan (Closing Visit): Status kunjungan berubah menjadi 'Completed'. Pasien selesai menjalani seluruh rangkaian layanan di klinik.</w:t>
      </w:r>
    </w:p>
    <w:p>
      <w:pPr>
        <w:pStyle w:val="ListBullet2"/>
        <w:spacing w:after="60"/>
      </w:pPr>
      <w:r>
        <w:rPr>
          <w:sz w:val="19"/>
        </w:rPr>
        <w:t>Sinkronisasi SATUSEHAT Akhir: Sistem otomatis mengirimkan payload Encounter 'finished' dan riwayat Condition, Observation, Procedure, dan MedicationDispense ke SATUSEHAT Kemenkes.</w:t>
      </w:r>
    </w:p>
    <w:tbl>
      <w:tblPr>
        <w:tblW w:type="auto" w:w="0"/>
        <w:jc w:val="center"/>
        <w:tblLayout w:type="fixed"/>
        <w:tblLook w:firstColumn="1" w:firstRow="1" w:lastColumn="0" w:lastRow="0" w:noHBand="0" w:noVBand="1" w:val="04A0"/>
      </w:tblPr>
      <w:tblGrid>
        <w:gridCol w:w="9605"/>
      </w:tblGrid>
      <w:tr>
        <w:tc>
          <w:tcPr>
            <w:tcW w:type="dxa" w:w="9360"/>
            <w:shd w:fill="F1F5F9"/>
            <w:tcMar>
              <w:top w:w="120" w:type="dxa"/>
              <w:bottom w:w="120" w:type="dxa"/>
              <w:left w:w="180" w:type="dxa"/>
              <w:right w:w="180" w:type="dxa"/>
            </w:tcMar>
            <w:tcBorders>
              <w:top w:val="none" w:sz="0" w:space="0" w:color="auto"/>
              <w:left w:val="single" w:sz="24" w:space="0" w:color="475569"/>
              <w:bottom w:val="none" w:sz="0" w:space="0" w:color="auto"/>
              <w:right w:val="none" w:sz="0" w:space="0" w:color="auto"/>
            </w:tcBorders>
          </w:tcPr>
          <w:p>
            <w:pPr>
              <w:spacing w:before="40" w:after="40" w:line="276" w:lineRule="auto"/>
            </w:pPr>
            <w:r>
              <w:rPr>
                <w:b/>
                <w:color w:val="0F766E"/>
                <w:sz w:val="20"/>
              </w:rPr>
              <w:t xml:space="preserve">📌 Keamanan Keuangan &amp; Rekonsiliasi: </w:t>
            </w:r>
            <w:r>
              <w:rPr>
                <w:color w:val="334155"/>
                <w:sz w:val="19"/>
              </w:rPr>
              <w:t>Setiap transaksi di kasir tercatat dalam Laporan Keuangan Harian yang dapat direkonsiliasi per shift kasir untuk mencegah selisih fisik kas.</w:t>
            </w:r>
          </w:p>
        </w:tc>
      </w:tr>
    </w:tbl>
    <w:p>
      <w:pPr>
        <w:spacing w:before="0" w:after="80"/>
      </w:pPr>
    </w:p>
    <w:p>
      <w:pPr>
        <w:pStyle w:val="Heading1"/>
        <w:keepNext/>
        <w:spacing w:before="280" w:after="80"/>
      </w:pPr>
      <w:r>
        <w:rPr>
          <w:b/>
          <w:color w:val="0F766E"/>
          <w:sz w:val="32"/>
        </w:rPr>
        <w:t>7. Matriks Hak Akses Pengguna (Role &amp; Permission Matrix)</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2592"/>
            <w:shd w:fill="0F766E"/>
            <w:tcMar>
              <w:top w:w="80" w:type="dxa"/>
              <w:bottom w:w="80" w:type="dxa"/>
              <w:left w:w="100" w:type="dxa"/>
              <w:right w:w="100" w:type="dxa"/>
            </w:tcMar>
          </w:tcPr>
          <w:p>
            <w:pPr>
              <w:jc w:val="center"/>
            </w:pPr>
            <w:r>
              <w:rPr>
                <w:b/>
                <w:color w:val="FFFFFF"/>
                <w:sz w:val="17"/>
              </w:rPr>
              <w:t>Peran Pengguna</w:t>
            </w:r>
          </w:p>
        </w:tc>
        <w:tc>
          <w:tcPr>
            <w:tcW w:type="dxa" w:w="1584"/>
            <w:shd w:fill="0F766E"/>
            <w:tcMar>
              <w:top w:w="80" w:type="dxa"/>
              <w:bottom w:w="80" w:type="dxa"/>
              <w:left w:w="100" w:type="dxa"/>
              <w:right w:w="100" w:type="dxa"/>
            </w:tcMar>
          </w:tcPr>
          <w:p>
            <w:pPr>
              <w:jc w:val="center"/>
            </w:pPr>
            <w:r>
              <w:rPr>
                <w:b/>
                <w:color w:val="FFFFFF"/>
                <w:sz w:val="17"/>
              </w:rPr>
              <w:t>Pendaftaran</w:t>
            </w:r>
          </w:p>
        </w:tc>
        <w:tc>
          <w:tcPr>
            <w:tcW w:type="dxa" w:w="2016"/>
            <w:shd w:fill="0F766E"/>
            <w:tcMar>
              <w:top w:w="80" w:type="dxa"/>
              <w:bottom w:w="80" w:type="dxa"/>
              <w:left w:w="100" w:type="dxa"/>
              <w:right w:w="100" w:type="dxa"/>
            </w:tcMar>
          </w:tcPr>
          <w:p>
            <w:pPr>
              <w:jc w:val="center"/>
            </w:pPr>
            <w:r>
              <w:rPr>
                <w:b/>
                <w:color w:val="FFFFFF"/>
                <w:sz w:val="17"/>
              </w:rPr>
              <w:t>EMR &amp; Tindakan</w:t>
            </w:r>
          </w:p>
        </w:tc>
        <w:tc>
          <w:tcPr>
            <w:tcW w:type="dxa" w:w="2160"/>
            <w:shd w:fill="0F766E"/>
            <w:tcMar>
              <w:top w:w="80" w:type="dxa"/>
              <w:bottom w:w="80" w:type="dxa"/>
              <w:left w:w="100" w:type="dxa"/>
              <w:right w:w="100" w:type="dxa"/>
            </w:tcMar>
          </w:tcPr>
          <w:p>
            <w:pPr>
              <w:jc w:val="center"/>
            </w:pPr>
            <w:r>
              <w:rPr>
                <w:b/>
                <w:color w:val="FFFFFF"/>
                <w:sz w:val="17"/>
              </w:rPr>
              <w:t>Penunjang &amp; Farmasi</w:t>
            </w:r>
          </w:p>
        </w:tc>
        <w:tc>
          <w:tcPr>
            <w:tcW w:type="dxa" w:w="1728"/>
            <w:shd w:fill="0F766E"/>
            <w:tcMar>
              <w:top w:w="80" w:type="dxa"/>
              <w:bottom w:w="80" w:type="dxa"/>
              <w:left w:w="100" w:type="dxa"/>
              <w:right w:w="100" w:type="dxa"/>
            </w:tcMar>
          </w:tcPr>
          <w:p>
            <w:pPr>
              <w:jc w:val="center"/>
            </w:pPr>
            <w:r>
              <w:rPr>
                <w:b/>
                <w:color w:val="FFFFFF"/>
                <w:sz w:val="17"/>
              </w:rPr>
              <w:t>Kasir &amp; Billing</w:t>
            </w:r>
          </w:p>
        </w:tc>
      </w:tr>
      <w:tr>
        <w:tc>
          <w:tcPr>
            <w:tcW w:type="dxa" w:w="2592"/>
            <w:shd w:fill="FFFFFF"/>
            <w:tcMar>
              <w:top w:w="70" w:type="dxa"/>
              <w:bottom w:w="70" w:type="dxa"/>
              <w:left w:w="100" w:type="dxa"/>
              <w:right w:w="100" w:type="dxa"/>
            </w:tcMar>
          </w:tcPr>
          <w:p>
            <w:pPr>
              <w:spacing w:before="20" w:after="20"/>
            </w:pPr>
            <w:r>
              <w:rPr>
                <w:b/>
                <w:sz w:val="17"/>
              </w:rPr>
              <w:t>Petugas Registrasi</w:t>
            </w:r>
          </w:p>
        </w:tc>
        <w:tc>
          <w:tcPr>
            <w:tcW w:type="dxa" w:w="1584"/>
            <w:shd w:fill="FFFFFF"/>
            <w:tcMar>
              <w:top w:w="70" w:type="dxa"/>
              <w:bottom w:w="70" w:type="dxa"/>
              <w:left w:w="100" w:type="dxa"/>
              <w:right w:w="100" w:type="dxa"/>
            </w:tcMar>
          </w:tcPr>
          <w:p>
            <w:pPr>
              <w:spacing w:before="20" w:after="20"/>
              <w:jc w:val="center"/>
            </w:pPr>
            <w:r>
              <w:rPr>
                <w:sz w:val="17"/>
              </w:rPr>
              <w:t>Full Access</w:t>
            </w:r>
          </w:p>
        </w:tc>
        <w:tc>
          <w:tcPr>
            <w:tcW w:type="dxa" w:w="2016"/>
            <w:shd w:fill="FFFFFF"/>
            <w:tcMar>
              <w:top w:w="70" w:type="dxa"/>
              <w:bottom w:w="70" w:type="dxa"/>
              <w:left w:w="100" w:type="dxa"/>
              <w:right w:w="100" w:type="dxa"/>
            </w:tcMar>
          </w:tcPr>
          <w:p>
            <w:pPr>
              <w:spacing w:before="20" w:after="20"/>
              <w:jc w:val="center"/>
            </w:pPr>
            <w:r>
              <w:rPr>
                <w:sz w:val="17"/>
              </w:rPr>
              <w:t>View Only</w:t>
            </w:r>
          </w:p>
        </w:tc>
        <w:tc>
          <w:tcPr>
            <w:tcW w:type="dxa" w:w="2160"/>
            <w:shd w:fill="FFFFFF"/>
            <w:tcMar>
              <w:top w:w="70" w:type="dxa"/>
              <w:bottom w:w="70" w:type="dxa"/>
              <w:left w:w="100" w:type="dxa"/>
              <w:right w:w="100" w:type="dxa"/>
            </w:tcMar>
          </w:tcPr>
          <w:p>
            <w:pPr>
              <w:spacing w:before="20" w:after="20"/>
              <w:jc w:val="center"/>
            </w:pPr>
            <w:r>
              <w:rPr>
                <w:sz w:val="17"/>
              </w:rPr>
              <w:t>No Access</w:t>
            </w:r>
          </w:p>
        </w:tc>
        <w:tc>
          <w:tcPr>
            <w:tcW w:type="dxa" w:w="1728"/>
            <w:shd w:fill="FFFFFF"/>
            <w:tcMar>
              <w:top w:w="70" w:type="dxa"/>
              <w:bottom w:w="70" w:type="dxa"/>
              <w:left w:w="100" w:type="dxa"/>
              <w:right w:w="100" w:type="dxa"/>
            </w:tcMar>
          </w:tcPr>
          <w:p>
            <w:pPr>
              <w:spacing w:before="20" w:after="20"/>
              <w:jc w:val="center"/>
            </w:pPr>
            <w:r>
              <w:rPr>
                <w:sz w:val="17"/>
              </w:rPr>
              <w:t>View Tagihan</w:t>
            </w:r>
          </w:p>
        </w:tc>
      </w:tr>
      <w:tr>
        <w:tc>
          <w:tcPr>
            <w:tcW w:type="dxa" w:w="2592"/>
            <w:shd w:fill="F8FAFC"/>
            <w:tcMar>
              <w:top w:w="70" w:type="dxa"/>
              <w:bottom w:w="70" w:type="dxa"/>
              <w:left w:w="100" w:type="dxa"/>
              <w:right w:w="100" w:type="dxa"/>
            </w:tcMar>
          </w:tcPr>
          <w:p>
            <w:pPr>
              <w:spacing w:before="20" w:after="20"/>
            </w:pPr>
            <w:r>
              <w:rPr>
                <w:b/>
                <w:sz w:val="17"/>
              </w:rPr>
              <w:t>Perawat / Bidan</w:t>
            </w:r>
          </w:p>
        </w:tc>
        <w:tc>
          <w:tcPr>
            <w:tcW w:type="dxa" w:w="1584"/>
            <w:shd w:fill="F8FAFC"/>
            <w:tcMar>
              <w:top w:w="70" w:type="dxa"/>
              <w:bottom w:w="70" w:type="dxa"/>
              <w:left w:w="100" w:type="dxa"/>
              <w:right w:w="100" w:type="dxa"/>
            </w:tcMar>
          </w:tcPr>
          <w:p>
            <w:pPr>
              <w:spacing w:before="20" w:after="20"/>
              <w:jc w:val="center"/>
            </w:pPr>
            <w:r>
              <w:rPr>
                <w:sz w:val="17"/>
              </w:rPr>
              <w:t>View / Input</w:t>
            </w:r>
          </w:p>
        </w:tc>
        <w:tc>
          <w:tcPr>
            <w:tcW w:type="dxa" w:w="2016"/>
            <w:shd w:fill="F8FAFC"/>
            <w:tcMar>
              <w:top w:w="70" w:type="dxa"/>
              <w:bottom w:w="70" w:type="dxa"/>
              <w:left w:w="100" w:type="dxa"/>
              <w:right w:w="100" w:type="dxa"/>
            </w:tcMar>
          </w:tcPr>
          <w:p>
            <w:pPr>
              <w:spacing w:before="20" w:after="20"/>
              <w:jc w:val="center"/>
            </w:pPr>
            <w:r>
              <w:rPr>
                <w:sz w:val="17"/>
              </w:rPr>
              <w:t>TTV &amp; Skrining</w:t>
            </w:r>
          </w:p>
        </w:tc>
        <w:tc>
          <w:tcPr>
            <w:tcW w:type="dxa" w:w="2160"/>
            <w:shd w:fill="F8FAFC"/>
            <w:tcMar>
              <w:top w:w="70" w:type="dxa"/>
              <w:bottom w:w="70" w:type="dxa"/>
              <w:left w:w="100" w:type="dxa"/>
              <w:right w:w="100" w:type="dxa"/>
            </w:tcMar>
          </w:tcPr>
          <w:p>
            <w:pPr>
              <w:spacing w:before="20" w:after="20"/>
              <w:jc w:val="center"/>
            </w:pPr>
            <w:r>
              <w:rPr>
                <w:sz w:val="17"/>
              </w:rPr>
              <w:t>Input Sampel</w:t>
            </w:r>
          </w:p>
        </w:tc>
        <w:tc>
          <w:tcPr>
            <w:tcW w:type="dxa" w:w="1728"/>
            <w:shd w:fill="F8FAFC"/>
            <w:tcMar>
              <w:top w:w="70" w:type="dxa"/>
              <w:bottom w:w="70" w:type="dxa"/>
              <w:left w:w="100" w:type="dxa"/>
              <w:right w:w="100" w:type="dxa"/>
            </w:tcMar>
          </w:tcPr>
          <w:p>
            <w:pPr>
              <w:spacing w:before="20" w:after="20"/>
              <w:jc w:val="center"/>
            </w:pPr>
            <w:r>
              <w:rPr>
                <w:sz w:val="17"/>
              </w:rPr>
              <w:t>No Access</w:t>
            </w:r>
          </w:p>
        </w:tc>
      </w:tr>
      <w:tr>
        <w:tc>
          <w:tcPr>
            <w:tcW w:type="dxa" w:w="2592"/>
            <w:shd w:fill="FFFFFF"/>
            <w:tcMar>
              <w:top w:w="70" w:type="dxa"/>
              <w:bottom w:w="70" w:type="dxa"/>
              <w:left w:w="100" w:type="dxa"/>
              <w:right w:w="100" w:type="dxa"/>
            </w:tcMar>
          </w:tcPr>
          <w:p>
            <w:pPr>
              <w:spacing w:before="20" w:after="20"/>
            </w:pPr>
            <w:r>
              <w:rPr>
                <w:b/>
                <w:sz w:val="17"/>
              </w:rPr>
              <w:t>Dokter Pemeriksa</w:t>
            </w:r>
          </w:p>
        </w:tc>
        <w:tc>
          <w:tcPr>
            <w:tcW w:type="dxa" w:w="1584"/>
            <w:shd w:fill="FFFFFF"/>
            <w:tcMar>
              <w:top w:w="70" w:type="dxa"/>
              <w:bottom w:w="70" w:type="dxa"/>
              <w:left w:w="100" w:type="dxa"/>
              <w:right w:w="100" w:type="dxa"/>
            </w:tcMar>
          </w:tcPr>
          <w:p>
            <w:pPr>
              <w:spacing w:before="20" w:after="20"/>
              <w:jc w:val="center"/>
            </w:pPr>
            <w:r>
              <w:rPr>
                <w:sz w:val="17"/>
              </w:rPr>
              <w:t>View Kunjungan</w:t>
            </w:r>
          </w:p>
        </w:tc>
        <w:tc>
          <w:tcPr>
            <w:tcW w:type="dxa" w:w="2016"/>
            <w:shd w:fill="FFFFFF"/>
            <w:tcMar>
              <w:top w:w="70" w:type="dxa"/>
              <w:bottom w:w="70" w:type="dxa"/>
              <w:left w:w="100" w:type="dxa"/>
              <w:right w:w="100" w:type="dxa"/>
            </w:tcMar>
          </w:tcPr>
          <w:p>
            <w:pPr>
              <w:spacing w:before="20" w:after="20"/>
              <w:jc w:val="center"/>
            </w:pPr>
            <w:r>
              <w:rPr>
                <w:sz w:val="17"/>
              </w:rPr>
              <w:t>Full Akses &amp; TTE</w:t>
            </w:r>
          </w:p>
        </w:tc>
        <w:tc>
          <w:tcPr>
            <w:tcW w:type="dxa" w:w="2160"/>
            <w:shd w:fill="FFFFFF"/>
            <w:tcMar>
              <w:top w:w="70" w:type="dxa"/>
              <w:bottom w:w="70" w:type="dxa"/>
              <w:left w:w="100" w:type="dxa"/>
              <w:right w:w="100" w:type="dxa"/>
            </w:tcMar>
          </w:tcPr>
          <w:p>
            <w:pPr>
              <w:spacing w:before="20" w:after="20"/>
              <w:jc w:val="center"/>
            </w:pPr>
            <w:r>
              <w:rPr>
                <w:sz w:val="17"/>
              </w:rPr>
              <w:t>Order Lab / Rad / Rx</w:t>
            </w:r>
          </w:p>
        </w:tc>
        <w:tc>
          <w:tcPr>
            <w:tcW w:type="dxa" w:w="1728"/>
            <w:shd w:fill="FFFFFF"/>
            <w:tcMar>
              <w:top w:w="70" w:type="dxa"/>
              <w:bottom w:w="70" w:type="dxa"/>
              <w:left w:w="100" w:type="dxa"/>
              <w:right w:w="100" w:type="dxa"/>
            </w:tcMar>
          </w:tcPr>
          <w:p>
            <w:pPr>
              <w:spacing w:before="20" w:after="20"/>
              <w:jc w:val="center"/>
            </w:pPr>
            <w:r>
              <w:rPr>
                <w:sz w:val="17"/>
              </w:rPr>
              <w:t>No Access</w:t>
            </w:r>
          </w:p>
        </w:tc>
      </w:tr>
      <w:tr>
        <w:tc>
          <w:tcPr>
            <w:tcW w:type="dxa" w:w="2592"/>
            <w:shd w:fill="F8FAFC"/>
            <w:tcMar>
              <w:top w:w="70" w:type="dxa"/>
              <w:bottom w:w="70" w:type="dxa"/>
              <w:left w:w="100" w:type="dxa"/>
              <w:right w:w="100" w:type="dxa"/>
            </w:tcMar>
          </w:tcPr>
          <w:p>
            <w:pPr>
              <w:spacing w:before="20" w:after="20"/>
            </w:pPr>
            <w:r>
              <w:rPr>
                <w:b/>
                <w:sz w:val="17"/>
              </w:rPr>
              <w:t>Petugas Farmasi / Lab</w:t>
            </w:r>
          </w:p>
        </w:tc>
        <w:tc>
          <w:tcPr>
            <w:tcW w:type="dxa" w:w="1584"/>
            <w:shd w:fill="F8FAFC"/>
            <w:tcMar>
              <w:top w:w="70" w:type="dxa"/>
              <w:bottom w:w="70" w:type="dxa"/>
              <w:left w:w="100" w:type="dxa"/>
              <w:right w:w="100" w:type="dxa"/>
            </w:tcMar>
          </w:tcPr>
          <w:p>
            <w:pPr>
              <w:spacing w:before="20" w:after="20"/>
              <w:jc w:val="center"/>
            </w:pPr>
            <w:r>
              <w:rPr>
                <w:sz w:val="17"/>
              </w:rPr>
              <w:t>No Access</w:t>
            </w:r>
          </w:p>
        </w:tc>
        <w:tc>
          <w:tcPr>
            <w:tcW w:type="dxa" w:w="2016"/>
            <w:shd w:fill="F8FAFC"/>
            <w:tcMar>
              <w:top w:w="70" w:type="dxa"/>
              <w:bottom w:w="70" w:type="dxa"/>
              <w:left w:w="100" w:type="dxa"/>
              <w:right w:w="100" w:type="dxa"/>
            </w:tcMar>
          </w:tcPr>
          <w:p>
            <w:pPr>
              <w:spacing w:before="20" w:after="20"/>
              <w:jc w:val="center"/>
            </w:pPr>
            <w:r>
              <w:rPr>
                <w:sz w:val="17"/>
              </w:rPr>
              <w:t>View Resep / Order</w:t>
            </w:r>
          </w:p>
        </w:tc>
        <w:tc>
          <w:tcPr>
            <w:tcW w:type="dxa" w:w="2160"/>
            <w:shd w:fill="F8FAFC"/>
            <w:tcMar>
              <w:top w:w="70" w:type="dxa"/>
              <w:bottom w:w="70" w:type="dxa"/>
              <w:left w:w="100" w:type="dxa"/>
              <w:right w:w="100" w:type="dxa"/>
            </w:tcMar>
          </w:tcPr>
          <w:p>
            <w:pPr>
              <w:spacing w:before="20" w:after="20"/>
              <w:jc w:val="center"/>
            </w:pPr>
            <w:r>
              <w:rPr>
                <w:sz w:val="17"/>
              </w:rPr>
              <w:t>Full Dispensing / Hasil</w:t>
            </w:r>
          </w:p>
        </w:tc>
        <w:tc>
          <w:tcPr>
            <w:tcW w:type="dxa" w:w="1728"/>
            <w:shd w:fill="F8FAFC"/>
            <w:tcMar>
              <w:top w:w="70" w:type="dxa"/>
              <w:bottom w:w="70" w:type="dxa"/>
              <w:left w:w="100" w:type="dxa"/>
              <w:right w:w="100" w:type="dxa"/>
            </w:tcMar>
          </w:tcPr>
          <w:p>
            <w:pPr>
              <w:spacing w:before="20" w:after="20"/>
              <w:jc w:val="center"/>
            </w:pPr>
            <w:r>
              <w:rPr>
                <w:sz w:val="17"/>
              </w:rPr>
              <w:t>No Access</w:t>
            </w:r>
          </w:p>
        </w:tc>
      </w:tr>
      <w:tr>
        <w:tc>
          <w:tcPr>
            <w:tcW w:type="dxa" w:w="2592"/>
            <w:shd w:fill="FFFFFF"/>
            <w:tcMar>
              <w:top w:w="70" w:type="dxa"/>
              <w:bottom w:w="70" w:type="dxa"/>
              <w:left w:w="100" w:type="dxa"/>
              <w:right w:w="100" w:type="dxa"/>
            </w:tcMar>
          </w:tcPr>
          <w:p>
            <w:pPr>
              <w:spacing w:before="20" w:after="20"/>
            </w:pPr>
            <w:r>
              <w:rPr>
                <w:b/>
                <w:sz w:val="17"/>
              </w:rPr>
              <w:t>Kasir Pembayaran</w:t>
            </w:r>
          </w:p>
        </w:tc>
        <w:tc>
          <w:tcPr>
            <w:tcW w:type="dxa" w:w="1584"/>
            <w:shd w:fill="FFFFFF"/>
            <w:tcMar>
              <w:top w:w="70" w:type="dxa"/>
              <w:bottom w:w="70" w:type="dxa"/>
              <w:left w:w="100" w:type="dxa"/>
              <w:right w:w="100" w:type="dxa"/>
            </w:tcMar>
          </w:tcPr>
          <w:p>
            <w:pPr>
              <w:spacing w:before="20" w:after="20"/>
              <w:jc w:val="center"/>
            </w:pPr>
            <w:r>
              <w:rPr>
                <w:sz w:val="17"/>
              </w:rPr>
              <w:t>View Data Pasien</w:t>
            </w:r>
          </w:p>
        </w:tc>
        <w:tc>
          <w:tcPr>
            <w:tcW w:type="dxa" w:w="2016"/>
            <w:shd w:fill="FFFFFF"/>
            <w:tcMar>
              <w:top w:w="70" w:type="dxa"/>
              <w:bottom w:w="70" w:type="dxa"/>
              <w:left w:w="100" w:type="dxa"/>
              <w:right w:w="100" w:type="dxa"/>
            </w:tcMar>
          </w:tcPr>
          <w:p>
            <w:pPr>
              <w:spacing w:before="20" w:after="20"/>
              <w:jc w:val="center"/>
            </w:pPr>
            <w:r>
              <w:rPr>
                <w:sz w:val="17"/>
              </w:rPr>
              <w:t>No Access</w:t>
            </w:r>
          </w:p>
        </w:tc>
        <w:tc>
          <w:tcPr>
            <w:tcW w:type="dxa" w:w="2160"/>
            <w:shd w:fill="FFFFFF"/>
            <w:tcMar>
              <w:top w:w="70" w:type="dxa"/>
              <w:bottom w:w="70" w:type="dxa"/>
              <w:left w:w="100" w:type="dxa"/>
              <w:right w:w="100" w:type="dxa"/>
            </w:tcMar>
          </w:tcPr>
          <w:p>
            <w:pPr>
              <w:spacing w:before="20" w:after="20"/>
              <w:jc w:val="center"/>
            </w:pPr>
            <w:r>
              <w:rPr>
                <w:sz w:val="17"/>
              </w:rPr>
              <w:t>View Item Tagihan</w:t>
            </w:r>
          </w:p>
        </w:tc>
        <w:tc>
          <w:tcPr>
            <w:tcW w:type="dxa" w:w="1728"/>
            <w:shd w:fill="FFFFFF"/>
            <w:tcMar>
              <w:top w:w="70" w:type="dxa"/>
              <w:bottom w:w="70" w:type="dxa"/>
              <w:left w:w="100" w:type="dxa"/>
              <w:right w:w="100" w:type="dxa"/>
            </w:tcMar>
          </w:tcPr>
          <w:p>
            <w:pPr>
              <w:spacing w:before="20" w:after="20"/>
              <w:jc w:val="center"/>
            </w:pPr>
            <w:r>
              <w:rPr>
                <w:sz w:val="17"/>
              </w:rPr>
              <w:t>Full Transaksi &amp; Kuitansi</w:t>
            </w:r>
          </w:p>
        </w:tc>
      </w:tr>
    </w:tbl>
    <w:p>
      <w:pPr>
        <w:spacing w:after="240"/>
      </w:pPr>
    </w:p>
    <w:sectPr w:rsidR="00FC693F" w:rsidRPr="0006063C" w:rsidSect="00034616">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6"/>
      </w:rPr>
      <w:t>SIMKLINIK Indonesia — Petunjuk Teknis RME Terintegrasi  |  Halaman Dokumen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