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eastAsia="Times New Roman" w:cs="Calibri" w:cstheme="minorHAnsi"/>
          <w:b/>
          <w:b/>
          <w:sz w:val="28"/>
          <w:szCs w:val="28"/>
          <w:lang w:val="en-GB" w:eastAsia="es-ES"/>
        </w:rPr>
      </w:pPr>
      <w:r>
        <w:rPr>
          <w:rFonts w:eastAsia="Times New Roman" w:cs="Calibri" w:cstheme="minorHAnsi"/>
          <w:sz w:val="28"/>
          <w:szCs w:val="28"/>
          <w:lang w:val="en-GB" w:eastAsia="es-ES"/>
        </w:rPr>
        <w:t>Title of the seminar:</w:t>
      </w:r>
      <w:r>
        <w:rPr>
          <w:rFonts w:eastAsia="Times New Roman" w:cs="Calibri" w:cstheme="minorHAnsi"/>
          <w:b/>
          <w:sz w:val="28"/>
          <w:szCs w:val="28"/>
          <w:lang w:val="en-GB" w:eastAsia="es-ES"/>
        </w:rPr>
        <w:t xml:space="preserve"> From Field to Lab... and Back: An experimental research path on water management</w:t>
      </w:r>
    </w:p>
    <w:p>
      <w:pPr>
        <w:pStyle w:val="Normal"/>
        <w:spacing w:lineRule="auto" w:line="240" w:before="0" w:after="0"/>
        <w:rPr>
          <w:rFonts w:eastAsia="Times New Roman" w:cs="Calibri" w:cstheme="minorHAnsi"/>
          <w:lang w:val="en-GB" w:eastAsia="es-ES"/>
        </w:rPr>
      </w:pPr>
      <w:r>
        <w:rPr>
          <w:rFonts w:eastAsia="Times New Roman" w:cs="Calibri" w:cstheme="minorHAnsi"/>
          <w:lang w:val="en-GB" w:eastAsia="es-ES"/>
        </w:rPr>
      </w:r>
    </w:p>
    <w:p>
      <w:pPr>
        <w:pStyle w:val="Normal"/>
        <w:widowControl/>
        <w:bidi w:val="0"/>
        <w:spacing w:lineRule="auto" w:line="240" w:beforeAutospacing="1" w:afterAutospacing="1"/>
        <w:ind w:left="0" w:right="0" w:hanging="0"/>
        <w:jc w:val="left"/>
        <w:rPr/>
      </w:pPr>
      <w:r>
        <w:rPr>
          <w:rFonts w:eastAsia="Times New Roman" w:cs="Helvetica" w:ascii="Helvetica" w:hAnsi="Helvetica"/>
          <w:b/>
          <w:bCs/>
          <w:i/>
          <w:color w:val="FF0000"/>
          <w:shd w:fill="FFFFFF" w:val="clear"/>
          <w:lang w:val="en-GB" w:eastAsia="es-ES"/>
        </w:rPr>
        <w:t>Experimental economics for the study of common-pool resource management</w:t>
      </w:r>
    </w:p>
    <w:p>
      <w:pPr>
        <w:pStyle w:val="Normal"/>
        <w:widowControl/>
        <w:shd w:val="clear" w:color="auto" w:fill="FFFFFF"/>
        <w:bidi w:val="0"/>
        <w:spacing w:lineRule="auto" w:line="240" w:beforeAutospacing="1" w:afterAutospacing="1"/>
        <w:ind w:left="0" w:right="0" w:hanging="0"/>
        <w:jc w:val="left"/>
        <w:rPr/>
      </w:pPr>
      <w:r>
        <w:rPr>
          <w:rFonts w:eastAsia="Times New Roman" w:cs="Helvetica" w:ascii="Helvetica" w:hAnsi="Helvetica"/>
          <w:i/>
          <w:color w:val="FF0000"/>
          <w:sz w:val="20"/>
          <w:szCs w:val="20"/>
          <w:lang w:val="en-GB" w:eastAsia="es-ES"/>
        </w:rPr>
        <w:t xml:space="preserve">This seminar is composed of two presentations. It aims at introducing economic experiments as a tool for exploring better ways and mechanisms to manage common pool resources such as water, forests, soil etc. The two presentations will focus on two different types of experimental protocols representing natural resources: repeated and dynamic ones.  </w:t>
      </w:r>
    </w:p>
    <w:p>
      <w:pPr>
        <w:pStyle w:val="Normal"/>
        <w:widowControl/>
        <w:shd w:val="clear" w:color="auto" w:fill="FFFFFF"/>
        <w:bidi w:val="0"/>
        <w:spacing w:lineRule="auto" w:line="240" w:beforeAutospacing="1" w:afterAutospacing="1"/>
        <w:ind w:left="0" w:right="0" w:hanging="0"/>
        <w:jc w:val="left"/>
        <w:rPr/>
      </w:pPr>
      <w:r>
        <w:rPr>
          <w:rFonts w:eastAsia="Times New Roman" w:cs="Helvetica" w:ascii="Helvetica" w:hAnsi="Helvetica"/>
          <w:b/>
          <w:bCs/>
          <w:i/>
          <w:color w:val="FF0000"/>
          <w:lang w:val="en-GB" w:eastAsia="es-ES"/>
        </w:rPr>
        <w:t>Effects of information sharing on common-pool resource extraction behaviour: Experimental findings</w:t>
      </w:r>
    </w:p>
    <w:p>
      <w:pPr>
        <w:pStyle w:val="Normal"/>
        <w:widowControl/>
        <w:bidi w:val="0"/>
        <w:spacing w:lineRule="auto" w:line="240" w:beforeAutospacing="1" w:afterAutospacing="1"/>
        <w:ind w:left="0" w:right="0" w:hanging="0"/>
        <w:jc w:val="left"/>
        <w:rPr/>
      </w:pPr>
      <w:r>
        <w:rPr>
          <w:rFonts w:eastAsia="Times New Roman" w:cs="Helvetica" w:ascii="Helvetica" w:hAnsi="Helvetica"/>
          <w:b/>
          <w:bCs/>
          <w:i/>
          <w:color w:val="FF0000"/>
          <w:shd w:fill="FFFFFF" w:val="clear"/>
          <w:lang w:val="en-GB" w:eastAsia="es-ES"/>
        </w:rPr>
        <w:t xml:space="preserve">Stefano Farolfi </w:t>
      </w:r>
    </w:p>
    <w:p>
      <w:pPr>
        <w:pStyle w:val="Normal"/>
        <w:widowControl/>
        <w:bidi w:val="0"/>
        <w:spacing w:lineRule="auto" w:line="240" w:beforeAutospacing="1" w:afterAutospacing="1"/>
        <w:ind w:left="0" w:right="0" w:hanging="0"/>
        <w:jc w:val="left"/>
        <w:rPr/>
      </w:pPr>
      <w:r>
        <w:rPr>
          <w:rFonts w:eastAsia="Times New Roman" w:cs="Helvetica" w:ascii="Helvetica" w:hAnsi="Helvetica"/>
          <w:i/>
          <w:color w:val="FF0000"/>
          <w:sz w:val="20"/>
          <w:szCs w:val="20"/>
          <w:shd w:fill="FFFFFF" w:val="clear"/>
          <w:lang w:val="en-GB" w:eastAsia="es-ES"/>
        </w:rPr>
        <w:t>Our study experimentally investigates the impact of different information sharing mechanisms in a common-pool resource game, with a view to finding a mechanism that is both efficient and inexpensive for the managing agency. More precisely, we compare the observed extraction levels produced as a result of three mechanisms: a mandatory information sharing mechanism and two voluntary information sharing mechanisms that differ in the degree of freedom given to the players. Our main result is that a voluntary information sharing mechanism could help in reaching a lower average extraction level than that observed with the mandatory mechanism.</w:t>
      </w:r>
    </w:p>
    <w:p>
      <w:pPr>
        <w:pStyle w:val="Normal"/>
        <w:widowControl/>
        <w:bidi w:val="0"/>
        <w:spacing w:lineRule="auto" w:line="240" w:beforeAutospacing="1" w:afterAutospacing="1"/>
        <w:ind w:left="0" w:right="0" w:hanging="0"/>
        <w:jc w:val="left"/>
        <w:rPr>
          <w:color w:val="55308D"/>
        </w:rPr>
      </w:pPr>
      <w:r>
        <w:rPr>
          <w:color w:val="55308D"/>
        </w:rPr>
        <w:t>Dimitri Dubois</w:t>
      </w:r>
    </w:p>
    <w:p>
      <w:pPr>
        <w:pStyle w:val="Normal"/>
        <w:widowControl/>
        <w:bidi w:val="0"/>
        <w:spacing w:lineRule="auto" w:line="240" w:beforeAutospacing="1" w:afterAutospacing="1"/>
        <w:ind w:left="0" w:right="0" w:hanging="0"/>
        <w:jc w:val="left"/>
        <w:rPr>
          <w:color w:val="55308D"/>
        </w:rPr>
      </w:pPr>
      <w:r>
        <w:rPr>
          <w:color w:val="55308D"/>
        </w:rPr>
        <w:t xml:space="preserve">Following a concise introduction to the dynamic common pool resource game </w:t>
      </w:r>
      <w:r>
        <w:rPr>
          <w:color w:val="55308D"/>
        </w:rPr>
        <w:t xml:space="preserve">over an infinite horizon of time </w:t>
      </w:r>
      <w:r>
        <w:rPr>
          <w:color w:val="55308D"/>
        </w:rPr>
        <w:t>and its laboratory implementation, we will explore three research questions: (i) Is there an equivalence between playing the game experimentally in discrete or continuous time? (ii) Are subjects capable of following the socially optimal path? (iii) Can we assist them with nudges? Our findings indicate that experimental subjects are more successful in playing optimally in continuous time compared to discrete time. Focusing on this time implementation, we find that 20% of subjects significantly adhere to optimal play. However, we also observed patterns of play that are not explained by current theory. Lastly, we discovered that nudges can assist subjects in aligning closer to the optimal path, though further investigation is required.</w:t>
      </w:r>
    </w:p>
    <w:p>
      <w:pPr>
        <w:pStyle w:val="Normal"/>
        <w:spacing w:lineRule="auto" w:line="240" w:before="0" w:after="0"/>
        <w:rPr>
          <w:rFonts w:eastAsia="Times New Roman" w:cs="Calibri" w:cstheme="minorHAnsi"/>
          <w:lang w:val="en-GB" w:eastAsia="es-ES"/>
        </w:rPr>
      </w:pPr>
      <w:r>
        <w:rPr>
          <w:rFonts w:eastAsia="Times New Roman" w:cs="Calibri" w:cstheme="minorHAnsi"/>
          <w:lang w:val="en-GB" w:eastAsia="es-ES"/>
        </w:rPr>
      </w:r>
    </w:p>
    <w:p>
      <w:pPr>
        <w:pStyle w:val="Normal"/>
        <w:spacing w:lineRule="auto" w:line="240" w:before="0" w:after="0"/>
        <w:rPr>
          <w:rFonts w:eastAsia="Times New Roman" w:cs="Calibri" w:cstheme="minorHAnsi"/>
          <w:lang w:val="en-GB" w:eastAsia="es-ES"/>
        </w:rPr>
      </w:pPr>
      <w:r>
        <w:rPr/>
      </w:r>
      <w:r>
        <w:br w:type="page"/>
      </w:r>
    </w:p>
    <w:p>
      <w:pPr>
        <w:pStyle w:val="Normal"/>
        <w:spacing w:lineRule="auto" w:line="240" w:before="0" w:after="0"/>
        <w:rPr>
          <w:rFonts w:eastAsia="Times New Roman" w:cs="Calibri" w:cstheme="minorHAnsi"/>
          <w:lang w:val="en-GB" w:eastAsia="es-ES"/>
        </w:rPr>
      </w:pPr>
      <w:r>
        <w:rPr>
          <w:rFonts w:eastAsia="Times New Roman" w:cs="Calibri" w:cstheme="minorHAnsi"/>
          <w:lang w:val="en-GB" w:eastAsia="es-ES"/>
        </w:rPr>
        <w:t xml:space="preserve">Name and position of the lecturer (as they wish to be presented): </w:t>
      </w:r>
      <w:bookmarkStart w:id="0" w:name="_GoBack"/>
      <w:bookmarkEnd w:id="0"/>
      <w:r>
        <w:rPr>
          <w:rFonts w:eastAsia="Times New Roman" w:cs="Calibri" w:cstheme="minorHAnsi"/>
          <w:b/>
          <w:bCs/>
          <w:lang w:val="en-GB" w:eastAsia="es-ES"/>
        </w:rPr>
        <w:t>Stefano Farolfi (PhD)</w:t>
      </w:r>
    </w:p>
    <w:p>
      <w:pPr>
        <w:pStyle w:val="Normal"/>
        <w:spacing w:lineRule="auto" w:line="240" w:before="0" w:after="0"/>
        <w:rPr>
          <w:rFonts w:eastAsia="Times New Roman" w:cs="Calibri" w:cstheme="minorHAnsi"/>
          <w:b/>
          <w:b/>
          <w:lang w:val="en-GB" w:eastAsia="es-ES"/>
        </w:rPr>
      </w:pPr>
      <w:r>
        <w:rPr>
          <w:rFonts w:eastAsia="Times New Roman" w:cs="Calibri" w:cstheme="minorHAnsi"/>
          <w:lang w:val="en-GB" w:eastAsia="es-ES"/>
        </w:rPr>
        <w:t xml:space="preserve">Institution/affiliation(s): </w:t>
      </w:r>
      <w:r>
        <w:rPr>
          <w:b/>
          <w:sz w:val="20"/>
          <w:szCs w:val="20"/>
          <w:lang w:val="en-GB"/>
        </w:rPr>
        <w:t>French Agronomic Research Centre for International Development (CIRAD) and G-Eau in Montpellier, France</w:t>
      </w:r>
    </w:p>
    <w:p>
      <w:pPr>
        <w:pStyle w:val="Normal"/>
        <w:spacing w:lineRule="auto" w:line="240" w:before="164" w:after="164"/>
        <w:jc w:val="both"/>
        <w:rPr>
          <w:rFonts w:eastAsia="Times New Roman" w:cs="Calibri" w:cstheme="minorHAnsi"/>
          <w:b/>
          <w:b/>
          <w:bCs/>
          <w:lang w:val="en-GB" w:eastAsia="es-ES"/>
        </w:rPr>
      </w:pPr>
      <w:r>
        <w:rPr>
          <w:rFonts w:eastAsia="Times New Roman" w:cs="Calibri" w:cstheme="minorHAnsi"/>
          <w:bCs/>
          <w:lang w:val="en-GB" w:eastAsia="es-ES"/>
        </w:rPr>
        <w:t>Bio:</w:t>
      </w:r>
      <w:r>
        <w:rPr>
          <w:rFonts w:eastAsia="Times New Roman" w:cs="Calibri" w:cstheme="minorHAnsi"/>
          <w:b/>
          <w:bCs/>
          <w:lang w:val="en-GB" w:eastAsia="es-ES"/>
        </w:rPr>
        <w:t xml:space="preserve"> Stefano Farolfi (PhD) </w:t>
      </w:r>
      <w:r>
        <w:rPr>
          <w:rFonts w:eastAsia="Times New Roman" w:cs="Calibri" w:cstheme="minorHAnsi"/>
          <w:lang w:val="en-GB" w:eastAsia="es-ES"/>
        </w:rPr>
        <w:t xml:space="preserve">is a senior water economist at the French Agronomic Research Centre for International Development (CIRAD). He leads the research team PRECOS on practices and behaviour of water users within the joint research unit G-Eau in Montpellier. He was the G-Eau Deputy Director between 2014 and 2020. Stefano spent 12 years in Southern Africa, serving as Scientific Director at the International Centre for Water Economics and Governance in Africa (IWEGA) in Maputo and Senior Lecturer and Research Fellow at the Centre for Environmental Economics and Policy in Africa (CEEPA) of the University of Pretoria, where he is today an Extraordinary Professor at the Department of Agricultural Economics. </w:t>
      </w:r>
    </w:p>
    <w:p>
      <w:pPr>
        <w:pStyle w:val="Normal"/>
        <w:spacing w:lineRule="auto" w:line="240" w:before="164" w:after="164"/>
        <w:jc w:val="both"/>
        <w:rPr>
          <w:rFonts w:eastAsia="Times New Roman" w:cs="Calibri" w:cstheme="minorHAnsi"/>
          <w:b/>
          <w:b/>
          <w:bCs/>
          <w:lang w:val="en-GB" w:eastAsia="es-ES"/>
        </w:rPr>
      </w:pPr>
      <w:r>
        <w:rPr>
          <w:rFonts w:eastAsia="Times New Roman" w:cs="Calibri" w:cstheme="minorHAnsi"/>
          <w:lang w:val="en-GB" w:eastAsia="es-ES"/>
        </w:rPr>
        <w:t>Dr Farolfi published numerous scientific articles on the economics of water, co-edited a 2006 Earthscan book on water governance and sustainable development, a 2016 Springer book on decentralization of water governance in Africa, and a 2022 book by ‘Il Mulino’ titled ‘Good living as relationships economy’. His main research interests refer to the negotiation and coordination aspects of water management and allocation, and to the behavioural analysis of water stakeholders.</w:t>
      </w:r>
    </w:p>
    <w:p>
      <w:pPr>
        <w:pStyle w:val="Normal"/>
        <w:spacing w:lineRule="auto" w:line="240" w:before="0" w:after="0"/>
        <w:rPr>
          <w:rFonts w:ascii="Calibri" w:hAnsi="Calibri" w:eastAsia="Times New Roman" w:cs="Calibri"/>
          <w:lang w:val="en-GB" w:eastAsia="es-ES"/>
        </w:rPr>
      </w:pPr>
      <w:r>
        <w:rPr>
          <w:rFonts w:eastAsia="Times New Roman" w:cs="Calibri"/>
          <w:lang w:val="en-GB" w:eastAsia="es-ES"/>
        </w:rPr>
        <w:t>PIC</w:t>
      </w:r>
    </w:p>
    <w:p>
      <w:pPr>
        <w:pStyle w:val="Normal"/>
        <w:spacing w:lineRule="auto" w:line="240" w:before="0" w:after="0"/>
        <w:rPr>
          <w:rFonts w:ascii="Calibri" w:hAnsi="Calibri" w:eastAsia="Times New Roman" w:cs="Calibri"/>
          <w:lang w:val="en-GB" w:eastAsia="es-ES"/>
        </w:rPr>
      </w:pPr>
      <w:r>
        <w:rPr/>
        <w:drawing>
          <wp:inline distT="0" distB="0" distL="0" distR="0">
            <wp:extent cx="881380" cy="11747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flipH="1">
                      <a:off x="0" y="0"/>
                      <a:ext cx="881380" cy="1174750"/>
                    </a:xfrm>
                    <a:prstGeom prst="rect">
                      <a:avLst/>
                    </a:prstGeom>
                  </pic:spPr>
                </pic:pic>
              </a:graphicData>
            </a:graphic>
          </wp:inline>
        </w:drawing>
      </w:r>
    </w:p>
    <w:p>
      <w:pPr>
        <w:pStyle w:val="Normal"/>
        <w:rPr/>
      </w:pPr>
      <w:r>
        <w:rPr/>
      </w:r>
    </w:p>
    <w:p>
      <w:pPr>
        <w:pStyle w:val="Normal"/>
        <w:spacing w:lineRule="auto" w:line="240" w:before="0" w:after="0"/>
        <w:jc w:val="both"/>
        <w:rPr>
          <w:rFonts w:ascii="Calibri" w:hAnsi="Calibri" w:eastAsia="Times New Roman" w:cs="Calibri"/>
          <w:lang w:val="en-GB" w:eastAsia="es-ES"/>
        </w:rPr>
      </w:pPr>
      <w:r>
        <w:rPr>
          <w:rFonts w:eastAsia="Times New Roman" w:cs="Calibri"/>
          <w:lang w:val="en-GB" w:eastAsia="es-ES"/>
        </w:rPr>
        <w:t xml:space="preserve">Name and position of the lecturer (as they wish to be presented): </w:t>
      </w:r>
      <w:r>
        <w:rPr>
          <w:rFonts w:eastAsia="Times New Roman" w:cs="Calibri" w:cstheme="minorHAnsi"/>
          <w:b/>
          <w:bCs/>
          <w:lang w:val="en-GB" w:eastAsia="es-ES"/>
        </w:rPr>
        <w:t xml:space="preserve"> Dimitri Dubois (PhD)</w:t>
      </w:r>
    </w:p>
    <w:p>
      <w:pPr>
        <w:pStyle w:val="Normal"/>
        <w:spacing w:lineRule="auto" w:line="240" w:before="0" w:after="0"/>
        <w:jc w:val="both"/>
        <w:rPr>
          <w:rFonts w:eastAsia="Times New Roman" w:cs="Calibri" w:cstheme="minorHAnsi"/>
          <w:b/>
          <w:b/>
          <w:lang w:val="en-GB" w:eastAsia="es-ES"/>
        </w:rPr>
      </w:pPr>
      <w:r>
        <w:rPr>
          <w:rFonts w:eastAsia="Times New Roman" w:cs="Calibri" w:cstheme="minorHAnsi"/>
          <w:lang w:val="en-GB" w:eastAsia="es-ES"/>
        </w:rPr>
        <w:t xml:space="preserve">Institution/affiliation(s): </w:t>
      </w:r>
      <w:r>
        <w:rPr>
          <w:rFonts w:eastAsia="Times New Roman" w:cs="Calibri"/>
          <w:b/>
          <w:lang w:val="en-GB" w:eastAsia="es-ES"/>
        </w:rPr>
        <w:t xml:space="preserve">Institution/affiliation(s): </w:t>
      </w:r>
      <w:r>
        <w:rPr>
          <w:rFonts w:cs="Calibri" w:cstheme="minorHAnsi"/>
          <w:b/>
          <w:lang w:val="en-GB"/>
        </w:rPr>
        <w:t>National Center for Scientific Research (CNRS) and Centre for Environmental Economics of Montpellier (CEE-M), University of Montpellier, France</w:t>
      </w:r>
    </w:p>
    <w:p>
      <w:pPr>
        <w:pStyle w:val="Normal"/>
        <w:spacing w:lineRule="auto" w:line="240" w:before="0" w:after="0"/>
        <w:jc w:val="both"/>
        <w:rPr>
          <w:rFonts w:eastAsia="Times New Roman" w:cs="Calibri" w:cstheme="minorHAnsi"/>
          <w:sz w:val="16"/>
          <w:szCs w:val="16"/>
          <w:lang w:val="en-GB" w:eastAsia="es-ES"/>
        </w:rPr>
      </w:pPr>
      <w:r>
        <w:rPr>
          <w:rFonts w:eastAsia="Times New Roman" w:cs="Calibri" w:cstheme="minorHAnsi"/>
          <w:sz w:val="16"/>
          <w:szCs w:val="16"/>
          <w:lang w:val="en-GB" w:eastAsia="es-ES"/>
        </w:rPr>
      </w:r>
    </w:p>
    <w:p>
      <w:pPr>
        <w:pStyle w:val="Normal"/>
        <w:spacing w:lineRule="auto" w:line="240" w:before="0" w:after="0"/>
        <w:jc w:val="both"/>
        <w:rPr>
          <w:rFonts w:eastAsia="Times New Roman" w:cs="Calibri" w:cstheme="minorHAnsi"/>
          <w:lang w:val="en-GB" w:eastAsia="es-ES"/>
        </w:rPr>
      </w:pPr>
      <w:r>
        <w:rPr>
          <w:rFonts w:eastAsia="Times New Roman" w:cs="Calibri" w:cstheme="minorHAnsi"/>
          <w:lang w:val="en-GB" w:eastAsia="es-ES"/>
        </w:rPr>
        <w:t xml:space="preserve">Bio: </w:t>
      </w:r>
      <w:r>
        <w:rPr>
          <w:rFonts w:cs="Calibri" w:cstheme="minorHAnsi"/>
          <w:b/>
          <w:lang w:val="en-GB"/>
        </w:rPr>
        <w:t>Dimitri Dubois</w:t>
      </w:r>
      <w:r>
        <w:rPr>
          <w:rFonts w:cs="Calibri" w:cstheme="minorHAnsi"/>
          <w:lang w:val="en-GB"/>
        </w:rPr>
        <w:t xml:space="preserve"> is a research engineer at the National Center for Scientific Research (CNRS) and holds a PhD in economics from the University of Montpellier. He is in charge of the experimental economics platform of the Centre for Environmental Economics of Montpellier (CEE-M). Since 2020, he is also the deputy director of this research unit. With a focus on common pool resource management and social preferences, his main research interests are behavioral and experimental economics. Dimitri Dubois has published several articles in international economic journals such as Economic Modelling, Public Choice, Environmental and Resource Economics, Applied Economics or Journal of Economic Behavior and Organization, as well as in more general scientific journals such as The Lancets Public Health, PlosOne or Scientific Reports.</w:t>
      </w:r>
    </w:p>
    <w:p>
      <w:pPr>
        <w:pStyle w:val="Normal"/>
        <w:spacing w:lineRule="auto" w:line="240" w:before="0" w:after="0"/>
        <w:jc w:val="both"/>
        <w:rPr>
          <w:rFonts w:eastAsia="Times New Roman" w:cs="Calibri" w:cstheme="minorHAnsi"/>
          <w:lang w:val="en-GB" w:eastAsia="es-ES"/>
        </w:rPr>
      </w:pPr>
      <w:r>
        <w:rPr>
          <w:rFonts w:eastAsia="Times New Roman" w:cs="Calibri" w:cstheme="minorHAnsi"/>
          <w:lang w:val="en-GB" w:eastAsia="es-ES"/>
        </w:rPr>
      </w:r>
    </w:p>
    <w:p>
      <w:pPr>
        <w:pStyle w:val="Normal"/>
        <w:spacing w:lineRule="auto" w:line="240" w:before="0" w:after="0"/>
        <w:jc w:val="both"/>
        <w:rPr>
          <w:rFonts w:eastAsia="Times New Roman" w:cs="Calibri" w:cstheme="minorHAnsi"/>
          <w:lang w:val="en-GB" w:eastAsia="es-ES"/>
        </w:rPr>
      </w:pPr>
      <w:r>
        <w:rPr>
          <w:rFonts w:eastAsia="Times New Roman" w:cs="Calibri" w:cstheme="minorHAnsi"/>
          <w:lang w:val="en-GB" w:eastAsia="es-ES"/>
        </w:rPr>
        <w:t>Pic:</w:t>
      </w:r>
    </w:p>
    <w:p>
      <w:pPr>
        <w:pStyle w:val="Normal"/>
        <w:spacing w:before="0" w:after="160"/>
        <w:jc w:val="both"/>
        <w:rPr>
          <w:rFonts w:cs="Calibri" w:cstheme="minorHAnsi"/>
          <w:lang w:val="en-GB"/>
        </w:rPr>
      </w:pPr>
      <w:r>
        <w:rPr/>
        <w:drawing>
          <wp:anchor behindDoc="0" distT="0" distB="0" distL="0" distR="0" simplePos="0" locked="0" layoutInCell="0" allowOverlap="1" relativeHeight="3">
            <wp:simplePos x="0" y="0"/>
            <wp:positionH relativeFrom="column">
              <wp:posOffset>123190</wp:posOffset>
            </wp:positionH>
            <wp:positionV relativeFrom="paragraph">
              <wp:posOffset>133350</wp:posOffset>
            </wp:positionV>
            <wp:extent cx="886460" cy="1120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2409" t="0" r="0" b="23797"/>
                    <a:stretch>
                      <a:fillRect/>
                    </a:stretch>
                  </pic:blipFill>
                  <pic:spPr bwMode="auto">
                    <a:xfrm>
                      <a:off x="0" y="0"/>
                      <a:ext cx="886460" cy="1120775"/>
                    </a:xfrm>
                    <a:prstGeom prst="rect">
                      <a:avLst/>
                    </a:prstGeom>
                  </pic:spPr>
                </pic:pic>
              </a:graphicData>
            </a:graphic>
          </wp:anchor>
        </w:drawing>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Il" w:customStyle="1">
    <w:name w:val="il"/>
    <w:basedOn w:val="DefaultParagraphFont"/>
    <w:qFormat/>
    <w:rsid w:val="00d33579"/>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7809742320750568859default" w:customStyle="1">
    <w:name w:val="m_7809742320750568859default"/>
    <w:basedOn w:val="Normal"/>
    <w:qFormat/>
    <w:rsid w:val="00d33579"/>
    <w:pPr>
      <w:spacing w:lineRule="auto" w:line="240" w:beforeAutospacing="1" w:afterAutospacing="1"/>
    </w:pPr>
    <w:rPr>
      <w:rFonts w:ascii="Times New Roman" w:hAnsi="Times New Roman" w:eastAsia="Times New Roman" w:cs="Times New Roman"/>
      <w:sz w:val="24"/>
      <w:szCs w:val="24"/>
      <w:lang w:eastAsia="es-ES"/>
    </w:rPr>
  </w:style>
  <w:style w:type="paragraph" w:styleId="Entteetpieddepage">
    <w:name w:val="En-tête et pied de page"/>
    <w:basedOn w:val="Normal"/>
    <w:qFormat/>
    <w:pPr>
      <w:suppressLineNumbers/>
      <w:tabs>
        <w:tab w:val="clear" w:pos="708"/>
        <w:tab w:val="center" w:pos="4252" w:leader="none"/>
        <w:tab w:val="right" w:pos="8504" w:leader="none"/>
      </w:tabs>
    </w:pPr>
    <w:rPr/>
  </w:style>
  <w:style w:type="paragraph" w:styleId="Pieddepage">
    <w:name w:val="Footer"/>
    <w:basedOn w:val="Entteetpieddepage"/>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LibreOffice/7.3.7.2$Linux_X86_64 LibreOffice_project/30$Build-2</Application>
  <AppVersion>15.0000</AppVersion>
  <Pages>2</Pages>
  <Words>686</Words>
  <Characters>4007</Characters>
  <CharactersWithSpaces>4681</CharactersWithSpaces>
  <Paragraphs>18</Paragraphs>
  <Company>BC3</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2023-06-02T10:56:00Z</dcterms:created>
  <dc:creator>Marcela Brugnach</dc:creator>
  <dc:description/>
  <dc:language>fr-FR</dc:language>
  <cp:lastModifiedBy>Dimitri DUBOIS</cp:lastModifiedBy>
  <dcterms:modified xsi:type="dcterms:W3CDTF">2023-06-04T08:08:41Z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