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track tangible success metrics for your adult learners, you should shift away from traditional academic testing and focus on measuring real-world behavioral changes and the completion of practical financial milestones.</w:t>
      </w:r>
    </w:p>
    <w:p w:rsidR="00000000" w:rsidDel="00000000" w:rsidP="00000000" w:rsidRDefault="00000000" w:rsidRPr="00000000" w14:paraId="00000002">
      <w:pPr>
        <w:rPr/>
      </w:pPr>
      <w:r w:rsidDel="00000000" w:rsidR="00000000" w:rsidRPr="00000000">
        <w:rPr>
          <w:rtl w:val="0"/>
        </w:rPr>
        <w:t xml:space="preserve">Based on the sources, here are the most effective ways to track tangible success:</w:t>
      </w:r>
    </w:p>
    <w:p w:rsidR="00000000" w:rsidDel="00000000" w:rsidP="00000000" w:rsidRDefault="00000000" w:rsidRPr="00000000" w14:paraId="00000003">
      <w:pPr>
        <w:rPr/>
      </w:pPr>
      <w:r w:rsidDel="00000000" w:rsidR="00000000" w:rsidRPr="00000000">
        <w:rPr>
          <w:b w:val="1"/>
          <w:bCs w:val="1"/>
          <w:rtl w:val="0"/>
        </w:rPr>
        <w:t xml:space="preserve">1. Track the Completion of Real-World Milestones</w:t>
      </w:r>
      <w:r w:rsidDel="00000000" w:rsidR="00000000" w:rsidRPr="00000000">
        <w:rPr>
          <w:rtl w:val="0"/>
        </w:rPr>
        <w:t xml:space="preserve">Instead of grading quizzes, evaluate your students based on their successful completion of the tactical tasks taught in the curriculum. Tangible metrics you can track include:</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Document Creation:</w:t>
      </w:r>
      <w:r w:rsidDel="00000000" w:rsidR="00000000" w:rsidRPr="00000000">
        <w:rPr>
          <w:rtl w:val="0"/>
        </w:rPr>
        <w:t xml:space="preserve"> Verify that learners have successfully completed foundational documents, such as filling out an "Income and Benefits Tracker," creating a balanced cash flow statement, or setting up a physical envelope budgeting system 1-3.</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Credit Auditing:</w:t>
      </w:r>
      <w:r w:rsidDel="00000000" w:rsidR="00000000" w:rsidRPr="00000000">
        <w:rPr>
          <w:rtl w:val="0"/>
        </w:rPr>
        <w:t xml:space="preserve"> Track whether a student has successfully pulled their credit reports from the three major bureaus, audited them for post-discharge accuracy, and drafted a credit dispute letter if errors were found 3, 4.</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Savings Benchmarks:</w:t>
      </w:r>
      <w:r w:rsidDel="00000000" w:rsidR="00000000" w:rsidRPr="00000000">
        <w:rPr>
          <w:rtl w:val="0"/>
        </w:rPr>
        <w:t xml:space="preserve"> Measure their progress toward specific savings targets, such as automating their savings or successfully funding a $1,000 "Starter Emergency Fund" 5.</w:t>
      </w:r>
    </w:p>
    <w:p w:rsidR="00000000" w:rsidDel="00000000" w:rsidP="00000000" w:rsidRDefault="00000000" w:rsidRPr="00000000" w14:paraId="00000007">
      <w:pPr>
        <w:rPr/>
      </w:pPr>
      <w:r w:rsidDel="00000000" w:rsidR="00000000" w:rsidRPr="00000000">
        <w:rPr>
          <w:b w:val="1"/>
          <w:bCs w:val="1"/>
          <w:rtl w:val="0"/>
        </w:rPr>
        <w:t xml:space="preserve">2. Implement Personalized Goal Setting</w:t>
      </w:r>
      <w:r w:rsidDel="00000000" w:rsidR="00000000" w:rsidRPr="00000000">
        <w:rPr>
          <w:rtl w:val="0"/>
        </w:rPr>
        <w:t xml:space="preserve">Because adult learners are highly self-directed, success metrics should be tied to their personal lives. Have students set highly personalized, attainable goals (e.g., saving for a car deposit or reducing their credit utilization ratio below 30%) 6, 7. Progress metrics work best when they measure what the student actually accomplishes, allowing you to provide meaningful feedback that helps them adjust their real-world behaviors 6.</w:t>
      </w:r>
    </w:p>
    <w:p w:rsidR="00000000" w:rsidDel="00000000" w:rsidP="00000000" w:rsidRDefault="00000000" w:rsidRPr="00000000" w14:paraId="00000008">
      <w:pPr>
        <w:rPr/>
      </w:pPr>
      <w:r w:rsidDel="00000000" w:rsidR="00000000" w:rsidRPr="00000000">
        <w:rPr>
          <w:b w:val="1"/>
          <w:bCs w:val="1"/>
          <w:rtl w:val="0"/>
        </w:rPr>
        <w:t xml:space="preserve">3. Use Commitment Contracts and Financial Road Maps</w:t>
      </w:r>
      <w:r w:rsidDel="00000000" w:rsidR="00000000" w:rsidRPr="00000000">
        <w:rPr>
          <w:rtl w:val="0"/>
        </w:rPr>
        <w:t xml:space="preserve">At the end of the course, evaluate students based on a final project where they present a personalized 12-month "Financial Road Map" 8. To track their follow-through, have them sign a </w:t>
      </w:r>
      <w:r w:rsidDel="00000000" w:rsidR="00000000" w:rsidRPr="00000000">
        <w:rPr>
          <w:b w:val="1"/>
          <w:bCs w:val="1"/>
          <w:rtl w:val="0"/>
        </w:rPr>
        <w:t xml:space="preserve">commitment contract</w:t>
      </w:r>
      <w:r w:rsidDel="00000000" w:rsidR="00000000" w:rsidRPr="00000000">
        <w:rPr>
          <w:rtl w:val="0"/>
        </w:rPr>
        <w:t xml:space="preserve">. These contracts work on two levels: they act as a prompt for the student to complete agreed-upon behaviors, and they place something at stake to hold the learner accountable long after the class ends 8, 9. Studies show that solidifying commitments on paper significantly bridges the gap between good intentions and actual action 10.</w:t>
      </w:r>
    </w:p>
    <w:p w:rsidR="00000000" w:rsidDel="00000000" w:rsidP="00000000" w:rsidRDefault="00000000" w:rsidRPr="00000000" w14:paraId="00000009">
      <w:pPr>
        <w:rPr/>
      </w:pPr>
      <w:r w:rsidDel="00000000" w:rsidR="00000000" w:rsidRPr="00000000">
        <w:rPr>
          <w:b w:val="1"/>
          <w:bCs w:val="1"/>
          <w:rtl w:val="0"/>
        </w:rPr>
        <w:t xml:space="preserve">4. Leverage Digital Platform Metrics</w:t>
      </w:r>
      <w:r w:rsidDel="00000000" w:rsidR="00000000" w:rsidRPr="00000000">
        <w:rPr>
          <w:rtl w:val="0"/>
        </w:rPr>
        <w:t xml:space="preserve">If you are incorporating digital tools or a Learning Management System (LMS) into your course, you can track engagement and success through the software's built-in progress metrics 6, 11.</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Simulation Scores:</w:t>
      </w:r>
      <w:r w:rsidDel="00000000" w:rsidR="00000000" w:rsidRPr="00000000">
        <w:rPr>
          <w:rtl w:val="0"/>
        </w:rPr>
        <w:t xml:space="preserve"> If you use gamified tools like the </w:t>
      </w:r>
      <w:r w:rsidDel="00000000" w:rsidR="00000000" w:rsidRPr="00000000">
        <w:rPr>
          <w:i w:val="1"/>
          <w:iCs w:val="1"/>
          <w:rtl w:val="0"/>
        </w:rPr>
        <w:t xml:space="preserve">Financial Life Simulation</w:t>
      </w:r>
      <w:r w:rsidDel="00000000" w:rsidR="00000000" w:rsidRPr="00000000">
        <w:rPr>
          <w:rtl w:val="0"/>
        </w:rPr>
        <w:t xml:space="preserve">, you can track tangible metrics generated by the game, such as the student's simulated "Net Worth," their mock credit score improvements, and how well they balance their financial goals against their "Quality of Life" score 12.</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Engagement Reporting:</w:t>
      </w:r>
      <w:r w:rsidDel="00000000" w:rsidR="00000000" w:rsidRPr="00000000">
        <w:rPr>
          <w:rtl w:val="0"/>
        </w:rPr>
        <w:t xml:space="preserve"> Use platform reporting features to evaluate learners based on their completion of specific recommended content modules 6, 13.</w:t>
      </w:r>
    </w:p>
    <w:p w:rsidR="00000000" w:rsidDel="00000000" w:rsidP="00000000" w:rsidRDefault="00000000" w:rsidRPr="00000000" w14:paraId="0000000C">
      <w:pPr>
        <w:rPr/>
      </w:pPr>
      <w:r w:rsidDel="00000000" w:rsidR="00000000" w:rsidRPr="00000000">
        <w:rPr>
          <w:b w:val="1"/>
          <w:bCs w:val="1"/>
          <w:rtl w:val="0"/>
        </w:rPr>
        <w:t xml:space="preserve">5. Conduct Pre- and Post-Course Questionnaires</w:t>
      </w:r>
      <w:r w:rsidDel="00000000" w:rsidR="00000000" w:rsidRPr="00000000">
        <w:rPr>
          <w:rtl w:val="0"/>
        </w:rPr>
        <w:t xml:space="preserve">To measure the shift in their financial reality and emotional confidence, administer baseline assessments like the Consumer Financial Protection Bureau's "Starting the money conversation" questionnaire at the beginning and end of the program 3. Tracking changes in how they answer questions like </w:t>
      </w:r>
      <w:r w:rsidDel="00000000" w:rsidR="00000000" w:rsidRPr="00000000">
        <w:rPr>
          <w:i w:val="1"/>
          <w:iCs w:val="1"/>
          <w:rtl w:val="0"/>
        </w:rPr>
        <w:t xml:space="preserve">"Do you have money set aside to cover emergencies?"</w:t>
      </w:r>
      <w:r w:rsidDel="00000000" w:rsidR="00000000" w:rsidRPr="00000000">
        <w:rPr>
          <w:rtl w:val="0"/>
        </w:rPr>
        <w:t xml:space="preserve"> or </w:t>
      </w:r>
      <w:r w:rsidDel="00000000" w:rsidR="00000000" w:rsidRPr="00000000">
        <w:rPr>
          <w:i w:val="1"/>
          <w:iCs w:val="1"/>
          <w:rtl w:val="0"/>
        </w:rPr>
        <w:t xml:space="preserve">"Do you feel like you have control over your finances?"</w:t>
      </w:r>
      <w:r w:rsidDel="00000000" w:rsidR="00000000" w:rsidRPr="00000000">
        <w:rPr>
          <w:rtl w:val="0"/>
        </w:rPr>
        <w:t xml:space="preserve"> will give you a concrete metric of the course's impact 14, 15.</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