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The 50/30/20 rule is a clear, foundational budgeting method that divides your monthly take-home (net) pay into three distinct categories to help you manage your cash flow, stay debt-free, and rebuild your financial foundation after bankruptcy 1-3.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Here is how the rule breaks down your income: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50% for Needs (Essential Expenses):</w:t>
      </w:r>
      <w:r w:rsidDel="00000000" w:rsidR="00000000" w:rsidRPr="00000000">
        <w:rPr>
          <w:rtl w:val="0"/>
        </w:rPr>
        <w:t xml:space="preserve"> Half of your income should be dedicated to the survival expenses required to maintain stability 2, 4. This category includes housing (rent or a mortgage), utilities, groceries, health insurance, and transportation costs like gas and auto insurance 1, 2, 4, 5. If you have any costs associated with your bankruptcy—such as attorney's fees or non-dischargeable debt payments—they should also be factored in here 6.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30% for Wants (Discretionary Spending):</w:t>
      </w:r>
      <w:r w:rsidDel="00000000" w:rsidR="00000000" w:rsidRPr="00000000">
        <w:rPr>
          <w:rtl w:val="0"/>
        </w:rPr>
        <w:t xml:space="preserve"> Thirty percent is allocated for lifestyle choices that improve your morale and overall quality of life 3, 4. Examples include dining out, entertainment, streaming subscriptions, vacations, and non-essential personal care or clothing 1, 2, 4, 5, 7.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20% for Savings and Debt Reduction:</w:t>
      </w:r>
      <w:r w:rsidDel="00000000" w:rsidR="00000000" w:rsidRPr="00000000">
        <w:rPr>
          <w:rtl w:val="0"/>
        </w:rPr>
        <w:t xml:space="preserve"> The remaining 20% is dedicated to your financial goals, such as saving for the future or paying off lingering obligations 1, 2, 4. </w:t>
      </w:r>
      <w:r w:rsidDel="00000000" w:rsidR="00000000" w:rsidRPr="00000000">
        <w:rPr>
          <w:b w:val="1"/>
          <w:bCs w:val="1"/>
          <w:rtl w:val="0"/>
        </w:rPr>
        <w:t xml:space="preserve">For someone recently discharged from bankruptcy, experts emphasize that this 20% should be primarily focused on establishing an emergency fund</w:t>
      </w:r>
      <w:r w:rsidDel="00000000" w:rsidR="00000000" w:rsidRPr="00000000">
        <w:rPr>
          <w:rtl w:val="0"/>
        </w:rPr>
        <w:t xml:space="preserve"> 1. This emergency reserve acts as a critical barrier to protect your financial "fresh start" and prevents you from falling back into a cycle of high-interest debt when unexpected crises (like car repairs or medical bills) arise 1, 4, 8.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To make this system work effectively, calculate your limits based on your after-tax income and consider automating your 20% savings contributions so that your emergency fund grows consistently without requiring active effort 5, 9.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