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t xml:space="preserve">Designing a curriculum that bridges the gap between emotional healing and practical financial management is fundamental for true post-bankruptcy rehabilitation. Based on expert pedagogical frameworks designed specifically for post-bankruptcy adult learners, the course should be structured to transition learners from psychological recovery to tactical wealth-building.</w:t>
      </w:r>
    </w:p>
    <w:p w:rsidR="00000000" w:rsidDel="00000000" w:rsidP="00000000" w:rsidRDefault="00000000" w:rsidRPr="00000000" w14:paraId="00000002">
      <w:pPr>
        <w:rPr/>
      </w:pPr>
      <w:r w:rsidDel="00000000" w:rsidR="00000000" w:rsidRPr="00000000">
        <w:rPr>
          <w:rtl w:val="0"/>
        </w:rPr>
        <w:t xml:space="preserve">Here are the essential topics to cover, divided into the "therapy" and "nuts and bolts" components:</w:t>
      </w:r>
    </w:p>
    <w:p w:rsidR="00000000" w:rsidDel="00000000" w:rsidP="00000000" w:rsidRDefault="00000000" w:rsidRPr="00000000" w14:paraId="00000003">
      <w:pPr>
        <w:rPr>
          <w:b w:val="1"/>
          <w:bCs w:val="1"/>
        </w:rPr>
      </w:pPr>
      <w:r w:rsidDel="00000000" w:rsidR="00000000" w:rsidRPr="00000000">
        <w:rPr>
          <w:b w:val="1"/>
          <w:bCs w:val="1"/>
          <w:rtl w:val="0"/>
        </w:rPr>
        <w:t xml:space="preserve">Part 1: Financial Therapy and Psychological Recovery</w:t>
      </w:r>
    </w:p>
    <w:p w:rsidR="00000000" w:rsidDel="00000000" w:rsidP="00000000" w:rsidRDefault="00000000" w:rsidRPr="00000000" w14:paraId="00000004">
      <w:pPr>
        <w:numPr>
          <w:ilvl w:val="0"/>
          <w:numId w:val="1"/>
        </w:numPr>
        <w:ind w:left="720" w:hanging="360"/>
        <w:rPr>
          <w:u w:val="none"/>
        </w:rPr>
      </w:pPr>
      <w:r w:rsidDel="00000000" w:rsidR="00000000" w:rsidRPr="00000000">
        <w:rPr>
          <w:b w:val="1"/>
          <w:bCs w:val="1"/>
          <w:rtl w:val="0"/>
        </w:rPr>
        <w:t xml:space="preserve">Deconstructing Bankruptcy Stigma and Shame:</w:t>
      </w:r>
      <w:r w:rsidDel="00000000" w:rsidR="00000000" w:rsidRPr="00000000">
        <w:rPr>
          <w:rtl w:val="0"/>
        </w:rPr>
        <w:t xml:space="preserve"> Begin by addressing the profound feelings of humiliation, guilt, and social isolation that often accompany insolvency 1. Teach learners about the "social deterrence" effect (the fear of public judgment) and reframe bankruptcy not as a moral failure, but as a responsible, legal tool for resilience and a "fresh start" 2, 3.</w:t>
      </w:r>
    </w:p>
    <w:p w:rsidR="00000000" w:rsidDel="00000000" w:rsidP="00000000" w:rsidRDefault="00000000" w:rsidRPr="00000000" w14:paraId="00000005">
      <w:pPr>
        <w:numPr>
          <w:ilvl w:val="0"/>
          <w:numId w:val="1"/>
        </w:numPr>
        <w:ind w:left="720" w:hanging="360"/>
        <w:rPr>
          <w:u w:val="none"/>
        </w:rPr>
      </w:pPr>
      <w:r w:rsidDel="00000000" w:rsidR="00000000" w:rsidRPr="00000000">
        <w:rPr>
          <w:b w:val="1"/>
          <w:bCs w:val="1"/>
          <w:rtl w:val="0"/>
        </w:rPr>
        <w:t xml:space="preserve">Mapping and Rewriting the "Money Story":</w:t>
      </w:r>
      <w:r w:rsidDel="00000000" w:rsidR="00000000" w:rsidRPr="00000000">
        <w:rPr>
          <w:rtl w:val="0"/>
        </w:rPr>
        <w:t xml:space="preserve"> Use financial therapy tools like the "Money Timeline," where learners map out their key financial memories and the traumas or inherited family beliefs attached to them 4, 5. This helps individuals practice "radical self-compassion" and understand that their past financial behaviors were often survival mechanisms 4.</w:t>
      </w:r>
    </w:p>
    <w:p w:rsidR="00000000" w:rsidDel="00000000" w:rsidP="00000000" w:rsidRDefault="00000000" w:rsidRPr="00000000" w14:paraId="00000006">
      <w:pPr>
        <w:numPr>
          <w:ilvl w:val="0"/>
          <w:numId w:val="1"/>
        </w:numPr>
        <w:ind w:left="720" w:hanging="360"/>
        <w:rPr>
          <w:u w:val="none"/>
        </w:rPr>
      </w:pPr>
      <w:r w:rsidDel="00000000" w:rsidR="00000000" w:rsidRPr="00000000">
        <w:rPr>
          <w:b w:val="1"/>
          <w:bCs w:val="1"/>
          <w:rtl w:val="0"/>
        </w:rPr>
        <w:t xml:space="preserve">Identifying Cognitive and Emotional Biases:</w:t>
      </w:r>
      <w:r w:rsidDel="00000000" w:rsidR="00000000" w:rsidRPr="00000000">
        <w:rPr>
          <w:rtl w:val="0"/>
        </w:rPr>
        <w:t xml:space="preserve"> Teach learners how stress exacerbates poor financial decision-making. Cover biases such as the </w:t>
      </w:r>
      <w:r w:rsidDel="00000000" w:rsidR="00000000" w:rsidRPr="00000000">
        <w:rPr>
          <w:i w:val="1"/>
          <w:iCs w:val="1"/>
          <w:rtl w:val="0"/>
        </w:rPr>
        <w:t xml:space="preserve">scarcity mindset</w:t>
      </w:r>
      <w:r w:rsidDel="00000000" w:rsidR="00000000" w:rsidRPr="00000000">
        <w:rPr>
          <w:rtl w:val="0"/>
        </w:rPr>
        <w:t xml:space="preserve"> (where the brain's bandwidth is consumed by immediate survival), </w:t>
      </w:r>
      <w:r w:rsidDel="00000000" w:rsidR="00000000" w:rsidRPr="00000000">
        <w:rPr>
          <w:i w:val="1"/>
          <w:iCs w:val="1"/>
          <w:rtl w:val="0"/>
        </w:rPr>
        <w:t xml:space="preserve">loss aversion</w:t>
      </w:r>
      <w:r w:rsidDel="00000000" w:rsidR="00000000" w:rsidRPr="00000000">
        <w:rPr>
          <w:rtl w:val="0"/>
        </w:rPr>
        <w:t xml:space="preserve">, and </w:t>
      </w:r>
      <w:r w:rsidDel="00000000" w:rsidR="00000000" w:rsidRPr="00000000">
        <w:rPr>
          <w:i w:val="1"/>
          <w:iCs w:val="1"/>
          <w:rtl w:val="0"/>
        </w:rPr>
        <w:t xml:space="preserve">present bias</w:t>
      </w:r>
      <w:r w:rsidDel="00000000" w:rsidR="00000000" w:rsidRPr="00000000">
        <w:rPr>
          <w:rtl w:val="0"/>
        </w:rPr>
        <w:t xml:space="preserve"> (overvaluing immediate rewards over future benefits) 3.</w:t>
      </w:r>
    </w:p>
    <w:p w:rsidR="00000000" w:rsidDel="00000000" w:rsidP="00000000" w:rsidRDefault="00000000" w:rsidRPr="00000000" w14:paraId="00000007">
      <w:pPr>
        <w:numPr>
          <w:ilvl w:val="0"/>
          <w:numId w:val="1"/>
        </w:numPr>
        <w:ind w:left="720" w:hanging="360"/>
        <w:rPr>
          <w:u w:val="none"/>
        </w:rPr>
      </w:pPr>
      <w:r w:rsidDel="00000000" w:rsidR="00000000" w:rsidRPr="00000000">
        <w:rPr>
          <w:b w:val="1"/>
          <w:bCs w:val="1"/>
          <w:rtl w:val="0"/>
        </w:rPr>
        <w:t xml:space="preserve">Managing Emotional Triggers:</w:t>
      </w:r>
      <w:r w:rsidDel="00000000" w:rsidR="00000000" w:rsidRPr="00000000">
        <w:rPr>
          <w:rtl w:val="0"/>
        </w:rPr>
        <w:t xml:space="preserve"> Introduce behavioral discipline strategies, such as the "30-Day Rule" for non-essential purchases, to help students manage the emotional triggers that lead to reactive spending 6.</w:t>
      </w:r>
    </w:p>
    <w:p w:rsidR="00000000" w:rsidDel="00000000" w:rsidP="00000000" w:rsidRDefault="00000000" w:rsidRPr="00000000" w14:paraId="00000008">
      <w:pPr>
        <w:rPr>
          <w:b w:val="1"/>
          <w:bCs w:val="1"/>
        </w:rPr>
      </w:pPr>
      <w:r w:rsidDel="00000000" w:rsidR="00000000" w:rsidRPr="00000000">
        <w:rPr>
          <w:b w:val="1"/>
          <w:bCs w:val="1"/>
          <w:rtl w:val="0"/>
        </w:rPr>
        <w:t xml:space="preserve">Part 2: The "Nuts and Bolts" of Financial Management</w:t>
      </w:r>
    </w:p>
    <w:p w:rsidR="00000000" w:rsidDel="00000000" w:rsidP="00000000" w:rsidRDefault="00000000" w:rsidRPr="00000000" w14:paraId="00000009">
      <w:pPr>
        <w:numPr>
          <w:ilvl w:val="0"/>
          <w:numId w:val="2"/>
        </w:numPr>
        <w:ind w:left="720" w:hanging="360"/>
        <w:rPr>
          <w:u w:val="none"/>
        </w:rPr>
      </w:pPr>
      <w:r w:rsidDel="00000000" w:rsidR="00000000" w:rsidRPr="00000000">
        <w:rPr>
          <w:b w:val="1"/>
          <w:bCs w:val="1"/>
          <w:rtl w:val="0"/>
        </w:rPr>
        <w:t xml:space="preserve">Cash Flow Architecture and Expense Prioritization:</w:t>
      </w:r>
      <w:r w:rsidDel="00000000" w:rsidR="00000000" w:rsidRPr="00000000">
        <w:rPr>
          <w:rtl w:val="0"/>
        </w:rPr>
        <w:t xml:space="preserve"> Move away from credit-dependent models to cash-based living using "zero-based budgeting" 7. Teach the 50/30/20 rule (50% needs, 30% wants, 20% savings) to categorize spending 8, 9.</w:t>
      </w:r>
    </w:p>
    <w:p w:rsidR="00000000" w:rsidDel="00000000" w:rsidP="00000000" w:rsidRDefault="00000000" w:rsidRPr="00000000" w14:paraId="0000000A">
      <w:pPr>
        <w:numPr>
          <w:ilvl w:val="0"/>
          <w:numId w:val="2"/>
        </w:numPr>
        <w:ind w:left="720" w:hanging="360"/>
        <w:rPr>
          <w:u w:val="none"/>
        </w:rPr>
      </w:pPr>
      <w:r w:rsidDel="00000000" w:rsidR="00000000" w:rsidRPr="00000000">
        <w:rPr>
          <w:b w:val="1"/>
          <w:bCs w:val="1"/>
          <w:rtl w:val="0"/>
        </w:rPr>
        <w:t xml:space="preserve">Managing Variable Income:</w:t>
      </w:r>
      <w:r w:rsidDel="00000000" w:rsidR="00000000" w:rsidRPr="00000000">
        <w:rPr>
          <w:rtl w:val="0"/>
        </w:rPr>
        <w:t xml:space="preserve"> Because many post-bankruptcy individuals face unstable income (e.g., gig economy work), teach the "Baseline Income" method, which builds a budget based on the lowest-earning month of the previous year 10. Introduce the tangible "Envelope System" for managing discretionary funds and prioritizing bills when cash is short 6, 9, 11.</w:t>
      </w:r>
    </w:p>
    <w:p w:rsidR="00000000" w:rsidDel="00000000" w:rsidP="00000000" w:rsidRDefault="00000000" w:rsidRPr="00000000" w14:paraId="0000000B">
      <w:pPr>
        <w:numPr>
          <w:ilvl w:val="0"/>
          <w:numId w:val="2"/>
        </w:numPr>
        <w:ind w:left="720" w:hanging="360"/>
        <w:rPr>
          <w:u w:val="none"/>
        </w:rPr>
      </w:pPr>
      <w:r w:rsidDel="00000000" w:rsidR="00000000" w:rsidRPr="00000000">
        <w:rPr>
          <w:b w:val="1"/>
          <w:bCs w:val="1"/>
          <w:rtl w:val="0"/>
        </w:rPr>
        <w:t xml:space="preserve">Tactical Credit Auditing:</w:t>
      </w:r>
      <w:r w:rsidDel="00000000" w:rsidR="00000000" w:rsidRPr="00000000">
        <w:rPr>
          <w:rtl w:val="0"/>
        </w:rPr>
        <w:t xml:space="preserve"> Teach the crucial skill of auditing credit reports approximately 90 days post-discharge. Learners must know how to verify that all included accounts show a $0 balance and are marked as "discharged," as well as how to draft dispute letters to fix errors that suppress their scores 12, 13.</w:t>
      </w:r>
    </w:p>
    <w:p w:rsidR="00000000" w:rsidDel="00000000" w:rsidP="00000000" w:rsidRDefault="00000000" w:rsidRPr="00000000" w14:paraId="0000000C">
      <w:pPr>
        <w:numPr>
          <w:ilvl w:val="0"/>
          <w:numId w:val="2"/>
        </w:numPr>
        <w:ind w:left="720" w:hanging="360"/>
        <w:rPr>
          <w:u w:val="none"/>
        </w:rPr>
      </w:pPr>
      <w:r w:rsidDel="00000000" w:rsidR="00000000" w:rsidRPr="00000000">
        <w:rPr>
          <w:b w:val="1"/>
          <w:bCs w:val="1"/>
          <w:rtl w:val="0"/>
        </w:rPr>
        <w:t xml:space="preserve">Market Re-entry and Secured Products:</w:t>
      </w:r>
      <w:r w:rsidDel="00000000" w:rsidR="00000000" w:rsidRPr="00000000">
        <w:rPr>
          <w:rtl w:val="0"/>
        </w:rPr>
        <w:t xml:space="preserve"> Guide students on how to strategically re-enter the credit market using secured credit cards and credit builder loans 6, 14. Include the mathematics of credit scoring, specifically demonstrating how keeping credit utilization below 10% to 30% impacts a FICO score 6.</w:t>
      </w:r>
    </w:p>
    <w:p w:rsidR="00000000" w:rsidDel="00000000" w:rsidP="00000000" w:rsidRDefault="00000000" w:rsidRPr="00000000" w14:paraId="0000000D">
      <w:pPr>
        <w:numPr>
          <w:ilvl w:val="0"/>
          <w:numId w:val="2"/>
        </w:numPr>
        <w:ind w:left="720" w:hanging="360"/>
        <w:rPr>
          <w:u w:val="none"/>
        </w:rPr>
      </w:pPr>
      <w:r w:rsidDel="00000000" w:rsidR="00000000" w:rsidRPr="00000000">
        <w:rPr>
          <w:b w:val="1"/>
          <w:bCs w:val="1"/>
          <w:rtl w:val="0"/>
        </w:rPr>
        <w:t xml:space="preserve">Resilience Planning and Emergency Funds:</w:t>
      </w:r>
      <w:r w:rsidDel="00000000" w:rsidR="00000000" w:rsidRPr="00000000">
        <w:rPr>
          <w:rtl w:val="0"/>
        </w:rPr>
        <w:t xml:space="preserve"> Frame savings as a protective barrier to protect the "fresh start." Differentiate between "sinking funds" for planned expenses and "emergency reserves," setting an initial goal for learners to automate their savings and build a $1,000 starter emergency fund within six months 8, 15.</w:t>
      </w:r>
    </w:p>
    <w:p w:rsidR="00000000" w:rsidDel="00000000" w:rsidP="00000000" w:rsidRDefault="00000000" w:rsidRPr="00000000" w14:paraId="0000000E">
      <w:pPr>
        <w:numPr>
          <w:ilvl w:val="0"/>
          <w:numId w:val="2"/>
        </w:numPr>
        <w:ind w:left="720" w:hanging="360"/>
        <w:rPr>
          <w:u w:val="none"/>
        </w:rPr>
      </w:pPr>
      <w:r w:rsidDel="00000000" w:rsidR="00000000" w:rsidRPr="00000000">
        <w:rPr>
          <w:b w:val="1"/>
          <w:bCs w:val="1"/>
          <w:rtl w:val="0"/>
        </w:rPr>
        <w:t xml:space="preserve">Navigating Market Barriers:</w:t>
      </w:r>
      <w:r w:rsidDel="00000000" w:rsidR="00000000" w:rsidRPr="00000000">
        <w:rPr>
          <w:rtl w:val="0"/>
        </w:rPr>
        <w:t xml:space="preserve"> Address the practical realities of renting an apartment, buying a home, or financing a vehicle with a recent bankruptcy on record. Teach learners how to draft a professional "Letter of Explanation" to provide to future landlords or lenders to contextualize their bankruptcy 16.</w:t>
      </w:r>
    </w:p>
    <w:p w:rsidR="00000000" w:rsidDel="00000000" w:rsidP="00000000" w:rsidRDefault="00000000" w:rsidRPr="00000000" w14:paraId="0000000F">
      <w:pPr>
        <w:numPr>
          <w:ilvl w:val="0"/>
          <w:numId w:val="2"/>
        </w:numPr>
        <w:ind w:left="720" w:hanging="360"/>
        <w:rPr>
          <w:u w:val="none"/>
        </w:rPr>
      </w:pPr>
      <w:r w:rsidDel="00000000" w:rsidR="00000000" w:rsidRPr="00000000">
        <w:rPr>
          <w:b w:val="1"/>
          <w:bCs w:val="1"/>
          <w:rtl w:val="0"/>
        </w:rPr>
        <w:t xml:space="preserve">Identifying Predatory Traps:</w:t>
      </w:r>
      <w:r w:rsidDel="00000000" w:rsidR="00000000" w:rsidRPr="00000000">
        <w:rPr>
          <w:rtl w:val="0"/>
        </w:rPr>
        <w:t xml:space="preserve"> Post-bankruptcy individuals are prime targets for predatory lenders 17. Teach students how to spot red flags in mail solicitations, avoid "buy-here, pay-here" auto lots, recognize loan flipping, and calculate the true cost of credit using the Annual Percentage Rate (APR) rather than the nominal interest rate 17-19.</w:t>
      </w:r>
    </w:p>
    <w:p w:rsidR="00000000" w:rsidDel="00000000" w:rsidP="00000000" w:rsidRDefault="00000000" w:rsidRPr="00000000" w14:paraId="00000010">
      <w:pPr>
        <w:numPr>
          <w:ilvl w:val="0"/>
          <w:numId w:val="2"/>
        </w:numPr>
        <w:ind w:left="720" w:hanging="360"/>
        <w:rPr>
          <w:u w:val="none"/>
        </w:rPr>
      </w:pPr>
      <w:r w:rsidDel="00000000" w:rsidR="00000000" w:rsidRPr="00000000">
        <w:rPr>
          <w:b w:val="1"/>
          <w:bCs w:val="1"/>
          <w:rtl w:val="0"/>
        </w:rPr>
        <w:t xml:space="preserve">Long-Term Goal Setting:</w:t>
      </w:r>
      <w:r w:rsidDel="00000000" w:rsidR="00000000" w:rsidRPr="00000000">
        <w:rPr>
          <w:rtl w:val="0"/>
        </w:rPr>
        <w:t xml:space="preserve"> Conclude the course by having learners set "SMART" (Specific, Measurable, Actionable, Realistic, Time-bound) objectives 19. A final project could involve each student presenting a 12-month "Financial Road Map" to transition them out of the classroom with a concrete, actionable plan 19.</w:t>
      </w:r>
    </w:p>
    <w:p w:rsidR="00000000" w:rsidDel="00000000" w:rsidP="00000000" w:rsidRDefault="00000000" w:rsidRPr="00000000" w14:paraId="00000011">
      <w:pPr>
        <w:rPr/>
      </w:pPr>
      <w:r w:rsidDel="00000000" w:rsidR="00000000" w:rsidRPr="00000000">
        <w:rPr>
          <w:b w:val="1"/>
          <w:bCs w:val="1"/>
          <w:rtl w:val="0"/>
        </w:rPr>
        <w:t xml:space="preserve">A Note on Adult Learning (Andragogy):</w:t>
      </w:r>
      <w:r w:rsidDel="00000000" w:rsidR="00000000" w:rsidRPr="00000000">
        <w:rPr>
          <w:rtl w:val="0"/>
        </w:rPr>
        <w:t xml:space="preserve">When teaching these topics, prioritize facilitative, experiential strategies over traditional lectures 20. Adult learners are highly self-directed and need to know the practical "why" behind a concept 21. Encourage them to share the survival strategies they used during periods of insolvency to validate their lived experiences, and utilize interactive scenario-based simulations (like analyzing a sample cash flow statement) to foster real-world problem-solving 9, 22, 23.</w:t>
      </w:r>
    </w:p>
    <w:p w:rsidR="00000000" w:rsidDel="00000000" w:rsidP="00000000" w:rsidRDefault="00000000" w:rsidRPr="00000000" w14:paraId="00000012">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GB"/>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