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9B8B6" w14:textId="77777777" w:rsidR="00056F15" w:rsidRPr="00056F15" w:rsidRDefault="00056F15" w:rsidP="00056F1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4"/>
          <w:szCs w:val="34"/>
          <w:lang w:val="en-US"/>
        </w:rPr>
      </w:pPr>
      <w:r w:rsidRPr="00056F15">
        <w:rPr>
          <w:rFonts w:cstheme="minorHAnsi"/>
          <w:b/>
          <w:bCs/>
          <w:sz w:val="34"/>
          <w:szCs w:val="34"/>
          <w:lang w:val="en-US"/>
        </w:rPr>
        <w:t>CQF Exam Three</w:t>
      </w:r>
    </w:p>
    <w:p w14:paraId="443E5333" w14:textId="764DD06A" w:rsidR="006B5C90" w:rsidRPr="00056F15" w:rsidRDefault="00056F15" w:rsidP="00056F15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056F15">
        <w:rPr>
          <w:rFonts w:cstheme="minorHAnsi"/>
          <w:b/>
          <w:bCs/>
          <w:sz w:val="24"/>
          <w:szCs w:val="24"/>
          <w:lang w:val="en-US"/>
        </w:rPr>
        <w:t>Machine Learning in Finance</w:t>
      </w:r>
    </w:p>
    <w:p w14:paraId="22416CB8" w14:textId="242E674F" w:rsidR="00056F15" w:rsidRDefault="00056F15" w:rsidP="00056F15">
      <w:pPr>
        <w:rPr>
          <w:rFonts w:cstheme="minorHAnsi"/>
          <w:lang w:val="en-US"/>
        </w:rPr>
      </w:pPr>
    </w:p>
    <w:p w14:paraId="233E1579" w14:textId="0DD2DC80" w:rsidR="00056F15" w:rsidRPr="00271601" w:rsidRDefault="00056F15" w:rsidP="00056F15">
      <w:pPr>
        <w:rPr>
          <w:rFonts w:cstheme="minorHAnsi"/>
          <w:b/>
          <w:bCs/>
          <w:sz w:val="28"/>
          <w:szCs w:val="28"/>
          <w:lang w:val="en-US"/>
        </w:rPr>
      </w:pPr>
      <w:r w:rsidRPr="00271601">
        <w:rPr>
          <w:rFonts w:cstheme="minorHAnsi"/>
          <w:b/>
          <w:bCs/>
          <w:sz w:val="28"/>
          <w:szCs w:val="28"/>
          <w:lang w:val="en-US"/>
        </w:rPr>
        <w:t>Introduction</w:t>
      </w:r>
    </w:p>
    <w:p w14:paraId="6D61D295" w14:textId="4729055D" w:rsidR="00056F15" w:rsidRDefault="00056F15" w:rsidP="00056F1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The objective of this exam is to develop a predictive framework to forecast positive market moves (uptrends) utilizing advanced ensemble gradient boosting techniques.</w:t>
      </w:r>
    </w:p>
    <w:p w14:paraId="0BBF98FB" w14:textId="712E22A2" w:rsidR="00056F15" w:rsidRDefault="00056F15" w:rsidP="00056F1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 chose </w:t>
      </w:r>
      <w:r w:rsidRPr="00056F15">
        <w:rPr>
          <w:rFonts w:cstheme="minorHAnsi"/>
          <w:lang w:val="en-US"/>
        </w:rPr>
        <w:t>State Street SPDR S&amp;P 500 ETF Trust (SPY)</w:t>
      </w:r>
      <w:r>
        <w:rPr>
          <w:rFonts w:cstheme="minorHAnsi"/>
          <w:lang w:val="en-US"/>
        </w:rPr>
        <w:t xml:space="preserve"> which represents the largest and most actively traded ETFs in the world. It is designed to track performance of the S&amp;P 500 index.</w:t>
      </w:r>
    </w:p>
    <w:p w14:paraId="37EAFC7E" w14:textId="4473992D" w:rsidR="00056F15" w:rsidRDefault="00056F15" w:rsidP="00056F1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My target variable is labeled </w:t>
      </w:r>
      <w:r w:rsidRPr="00AF5177">
        <w:rPr>
          <w:rFonts w:cstheme="minorHAnsi"/>
          <w:lang w:val="en-US"/>
        </w:rPr>
        <w:t>as Y</w:t>
      </w:r>
      <w:r w:rsidR="00AF5177" w:rsidRPr="00AF5177">
        <w:rPr>
          <w:rFonts w:cstheme="minorHAnsi"/>
          <w:lang w:val="en-US"/>
        </w:rPr>
        <w:t xml:space="preserve"> </w:t>
      </w:r>
      <w:r w:rsidR="00AF5177" w:rsidRPr="00AF5177">
        <w:rPr>
          <w:rFonts w:ascii="Cambria Math" w:hAnsi="Cambria Math" w:cs="Cambria Math"/>
          <w:lang w:val="en-US"/>
        </w:rPr>
        <w:t>∈</w:t>
      </w:r>
      <w:r w:rsidR="00AF5177" w:rsidRPr="00AF5177">
        <w:rPr>
          <w:rFonts w:cstheme="minorHAnsi"/>
          <w:lang w:val="en-US"/>
        </w:rPr>
        <w:t xml:space="preserve"> {0, 1}, where 1 represents a</w:t>
      </w:r>
      <w:r w:rsidR="00AF5177">
        <w:rPr>
          <w:rFonts w:cstheme="minorHAnsi"/>
          <w:lang w:val="en-US"/>
        </w:rPr>
        <w:t xml:space="preserve"> sufficiently</w:t>
      </w:r>
      <w:r w:rsidR="00AF5177" w:rsidRPr="00AF5177">
        <w:rPr>
          <w:rFonts w:cstheme="minorHAnsi"/>
          <w:lang w:val="en-US"/>
        </w:rPr>
        <w:t xml:space="preserve"> large positive </w:t>
      </w:r>
      <w:r w:rsidR="00382676">
        <w:rPr>
          <w:rFonts w:cstheme="minorHAnsi"/>
          <w:lang w:val="en-US"/>
        </w:rPr>
        <w:t xml:space="preserve">daily </w:t>
      </w:r>
      <w:r w:rsidR="00AF5177" w:rsidRPr="00AF5177">
        <w:rPr>
          <w:rFonts w:cstheme="minorHAnsi"/>
          <w:lang w:val="en-US"/>
        </w:rPr>
        <w:t xml:space="preserve">market move </w:t>
      </w:r>
      <w:r w:rsidR="00CC5E11">
        <w:rPr>
          <w:rFonts w:cstheme="minorHAnsi"/>
          <w:lang w:val="en-US"/>
        </w:rPr>
        <w:t xml:space="preserve">of SPY </w:t>
      </w:r>
      <w:r w:rsidR="00AF5177" w:rsidRPr="00AF5177">
        <w:rPr>
          <w:rFonts w:cstheme="minorHAnsi"/>
          <w:lang w:val="en-US"/>
        </w:rPr>
        <w:t>to distinguish it from market fluctuations around zero-mean.</w:t>
      </w:r>
      <w:r w:rsidR="00AF5177">
        <w:rPr>
          <w:rFonts w:cstheme="minorHAnsi"/>
          <w:lang w:val="en-US"/>
        </w:rPr>
        <w:t xml:space="preserve"> The threshold for binary classification depends on most recent volatility </w:t>
      </w:r>
      <w:r w:rsidR="00AF5177" w:rsidRPr="00AF5177">
        <w:rPr>
          <w:rFonts w:cstheme="minorHAnsi"/>
          <w:lang w:val="en-US"/>
        </w:rPr>
        <w:t>σ</w:t>
      </w:r>
      <w:r w:rsidR="00AF5177">
        <w:rPr>
          <w:rFonts w:cstheme="minorHAnsi"/>
          <w:lang w:val="en-US"/>
        </w:rPr>
        <w:t xml:space="preserve"> multiplied by a scale factor k. Volatility scale k is chosen as a hyperparameter, which in practice can be calibrated/tuned to achieve target performance in a given market regime. </w:t>
      </w:r>
      <w:r w:rsidR="00382676">
        <w:rPr>
          <w:rFonts w:cstheme="minorHAnsi"/>
          <w:lang w:val="en-US"/>
        </w:rPr>
        <w:t xml:space="preserve">I chose k=0.5 which corresponds to approximate probability 30% of observing positive signal assuming normally distributed random variable. It also treats 40% of returns around zero mean as a market noise. </w:t>
      </w:r>
    </w:p>
    <w:p w14:paraId="23D1D99A" w14:textId="21C81C7B" w:rsidR="00382676" w:rsidRPr="00CC5E11" w:rsidRDefault="00382676" w:rsidP="00056F15">
      <w:pPr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 xml:space="preserve">1, 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 w:cstheme="minorHAnsi"/>
                      <w:lang w:val="en-US"/>
                    </w:rPr>
                    <m:t>&gt;0.5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σ</m:t>
                  </m:r>
                </m:e>
                <m:e>
                  <m:r>
                    <w:rPr>
                      <w:rFonts w:ascii="Cambria Math" w:hAnsi="Cambria Math" w:cstheme="minorHAnsi"/>
                      <w:lang w:val="en-US"/>
                    </w:rPr>
                    <m:t>0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 w:cstheme="minorHAnsi"/>
                      <w:lang w:val="en-US"/>
                    </w:rPr>
                    <m:t>&lt;0.5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σ</m:t>
                  </m:r>
                </m:e>
              </m:eqArr>
            </m:e>
          </m:d>
        </m:oMath>
      </m:oMathPara>
    </w:p>
    <w:p w14:paraId="14F958F4" w14:textId="51B22CC0" w:rsidR="00CC5E11" w:rsidRDefault="00CC5E11" w:rsidP="00056F15">
      <w:p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 xml:space="preserve">In this set-up we would long the shares of ETF if the model predicts more than 50% chance of the event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r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t+1</m:t>
            </m:r>
          </m:sub>
        </m:sSub>
        <m:r>
          <w:rPr>
            <w:rFonts w:ascii="Cambria Math" w:hAnsi="Cambria Math" w:cstheme="minorHAnsi"/>
            <w:lang w:val="en-US"/>
          </w:rPr>
          <m:t>&gt;0.5</m:t>
        </m:r>
        <m:r>
          <m:rPr>
            <m:sty m:val="p"/>
          </m:rPr>
          <w:rPr>
            <w:rFonts w:ascii="Cambria Math" w:hAnsi="Cambria Math" w:cstheme="minorHAnsi"/>
            <w:lang w:val="en-US"/>
          </w:rPr>
          <m:t>σ</m:t>
        </m:r>
      </m:oMath>
      <w:r>
        <w:rPr>
          <w:rFonts w:eastAsiaTheme="minorEastAsia" w:cstheme="minorHAnsi"/>
          <w:lang w:val="en-US"/>
        </w:rPr>
        <w:t xml:space="preserve">. The probability threshold </w:t>
      </w:r>
      <w:r>
        <w:rPr>
          <w:rFonts w:eastAsiaTheme="minorEastAsia" w:cstheme="minorHAnsi"/>
          <w:lang w:val="en-US"/>
        </w:rPr>
        <w:t>50%</w:t>
      </w:r>
      <w:r>
        <w:rPr>
          <w:rFonts w:eastAsiaTheme="minorEastAsia" w:cstheme="minorHAnsi"/>
          <w:lang w:val="en-US"/>
        </w:rPr>
        <w:t xml:space="preserve"> is also a model hyperparameter and can be selected based on conservatism of the trader. The larger this threshold is, the more conservative a trader might be.  </w:t>
      </w:r>
    </w:p>
    <w:p w14:paraId="3B6B9239" w14:textId="1C586333" w:rsidR="00CC5E11" w:rsidRDefault="0010429F" w:rsidP="00056F15">
      <w:p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The choice of initial feature pool is driven by common factors in technical analysis, e.g.</w:t>
      </w:r>
      <w:r w:rsidR="00271601">
        <w:rPr>
          <w:rFonts w:eastAsiaTheme="minorEastAsia" w:cstheme="minorHAnsi"/>
          <w:lang w:val="en-US"/>
        </w:rPr>
        <w:t xml:space="preserve"> past</w:t>
      </w:r>
      <w:r>
        <w:rPr>
          <w:rFonts w:eastAsiaTheme="minorEastAsia" w:cstheme="minorHAnsi"/>
          <w:lang w:val="en-US"/>
        </w:rPr>
        <w:t xml:space="preserve"> returns, </w:t>
      </w:r>
      <w:r>
        <w:rPr>
          <w:rFonts w:eastAsiaTheme="minorEastAsia" w:cstheme="minorHAnsi"/>
          <w:lang w:val="en-US"/>
        </w:rPr>
        <w:t>volatilities</w:t>
      </w:r>
      <w:r>
        <w:rPr>
          <w:rFonts w:eastAsiaTheme="minorEastAsia" w:cstheme="minorHAnsi"/>
          <w:lang w:val="en-US"/>
        </w:rPr>
        <w:t xml:space="preserve">, </w:t>
      </w:r>
      <w:r w:rsidR="00271601">
        <w:rPr>
          <w:rFonts w:eastAsiaTheme="minorEastAsia" w:cstheme="minorHAnsi"/>
          <w:lang w:val="en-US"/>
        </w:rPr>
        <w:t>RSI, relative position in Bollinger Bands</w:t>
      </w:r>
      <w:r>
        <w:rPr>
          <w:rFonts w:eastAsiaTheme="minorEastAsia" w:cstheme="minorHAnsi"/>
          <w:lang w:val="en-US"/>
        </w:rPr>
        <w:t xml:space="preserve"> </w:t>
      </w:r>
      <w:r w:rsidR="00271601">
        <w:rPr>
          <w:rFonts w:eastAsiaTheme="minorEastAsia" w:cstheme="minorHAnsi"/>
          <w:lang w:val="en-US"/>
        </w:rPr>
        <w:t>and so on. The full description is provided in the appendix.</w:t>
      </w:r>
      <w:r>
        <w:rPr>
          <w:rFonts w:eastAsiaTheme="minorEastAsia" w:cstheme="minorHAnsi"/>
          <w:lang w:val="en-US"/>
        </w:rPr>
        <w:t xml:space="preserve"> </w:t>
      </w:r>
      <w:r w:rsidR="00271601">
        <w:rPr>
          <w:rFonts w:eastAsiaTheme="minorEastAsia" w:cstheme="minorHAnsi"/>
          <w:lang w:val="en-US"/>
        </w:rPr>
        <w:t>All features have daily frequency.</w:t>
      </w:r>
    </w:p>
    <w:p w14:paraId="10024E20" w14:textId="44E74C65" w:rsidR="00271601" w:rsidRDefault="00271601" w:rsidP="00056F15">
      <w:p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>The length of historical dataset should be aligned with observed data frequency. My data sample spans period from 2010-01-01 to today which covers roughly 17 years. I split data into train and test sample with 20% test size, which means train sample covers roughly 13.5 years from 2010 to mid</w:t>
      </w:r>
      <w:r w:rsidR="00901995">
        <w:rPr>
          <w:rFonts w:eastAsiaTheme="minorEastAsia" w:cstheme="minorHAnsi"/>
          <w:lang w:val="en-US"/>
        </w:rPr>
        <w:t>-</w:t>
      </w:r>
      <w:r>
        <w:rPr>
          <w:rFonts w:eastAsiaTheme="minorEastAsia" w:cstheme="minorHAnsi"/>
          <w:lang w:val="en-US"/>
        </w:rPr>
        <w:t>2023</w:t>
      </w:r>
      <w:r w:rsidR="00901995">
        <w:rPr>
          <w:rFonts w:eastAsiaTheme="minorEastAsia" w:cstheme="minorHAnsi"/>
          <w:lang w:val="en-US"/>
        </w:rPr>
        <w:t xml:space="preserve">, leaving the remaining sample for testing. This period includes Covid-19 which means the model should be trained on both bull and bear markets.  </w:t>
      </w:r>
      <w:r>
        <w:rPr>
          <w:rFonts w:eastAsiaTheme="minorEastAsia" w:cstheme="minorHAnsi"/>
          <w:lang w:val="en-US"/>
        </w:rPr>
        <w:t xml:space="preserve">  </w:t>
      </w:r>
    </w:p>
    <w:p w14:paraId="299EAB48" w14:textId="3C54F33B" w:rsidR="005D55A7" w:rsidRDefault="006167F8" w:rsidP="005D55A7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Q1: </w:t>
      </w:r>
      <w:r w:rsidR="005D55A7">
        <w:rPr>
          <w:rFonts w:cstheme="minorHAnsi"/>
          <w:b/>
          <w:bCs/>
          <w:sz w:val="28"/>
          <w:szCs w:val="28"/>
          <w:lang w:val="en-US"/>
        </w:rPr>
        <w:t>F</w:t>
      </w:r>
      <w:r w:rsidR="005D55A7">
        <w:rPr>
          <w:rFonts w:cstheme="minorHAnsi"/>
          <w:b/>
          <w:bCs/>
          <w:sz w:val="28"/>
          <w:szCs w:val="28"/>
          <w:lang w:val="en-US"/>
        </w:rPr>
        <w:t>eature</w:t>
      </w:r>
      <w:r w:rsidR="005D55A7" w:rsidRPr="00271601">
        <w:rPr>
          <w:rFonts w:cstheme="minorHAnsi"/>
          <w:b/>
          <w:bCs/>
          <w:sz w:val="28"/>
          <w:szCs w:val="28"/>
          <w:lang w:val="en-US"/>
        </w:rPr>
        <w:t xml:space="preserve"> engineering</w:t>
      </w:r>
      <w:r w:rsidR="005D55A7">
        <w:rPr>
          <w:rFonts w:cstheme="minorHAnsi"/>
          <w:b/>
          <w:bCs/>
          <w:sz w:val="28"/>
          <w:szCs w:val="28"/>
          <w:lang w:val="en-US"/>
        </w:rPr>
        <w:t xml:space="preserve"> </w:t>
      </w:r>
    </w:p>
    <w:p w14:paraId="7B37A542" w14:textId="7726C3CC" w:rsidR="002E5E50" w:rsidRPr="002E5E50" w:rsidRDefault="002E5E50" w:rsidP="005D55A7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In this section I will examine feature selection techniques, feature transformations and selection criteria for each funnel method and finally I will list feature candidates for subsequent modelling exercise.  </w:t>
      </w:r>
    </w:p>
    <w:p w14:paraId="138E25EB" w14:textId="5200277F" w:rsidR="005D55A7" w:rsidRPr="00271601" w:rsidRDefault="006167F8" w:rsidP="005D55A7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Feature selection </w:t>
      </w:r>
      <w:r w:rsidR="002E5E50">
        <w:rPr>
          <w:rFonts w:cstheme="minorHAnsi"/>
          <w:b/>
          <w:bCs/>
          <w:sz w:val="28"/>
          <w:szCs w:val="28"/>
          <w:lang w:val="en-US"/>
        </w:rPr>
        <w:t>methods</w:t>
      </w:r>
    </w:p>
    <w:p w14:paraId="786A85DF" w14:textId="1ECAEDE9" w:rsidR="005D55A7" w:rsidRDefault="00B02AEF" w:rsidP="00F10FB4">
      <w:pPr>
        <w:rPr>
          <w:rFonts w:cstheme="minorHAnsi"/>
          <w:lang w:val="en-US"/>
        </w:rPr>
      </w:pPr>
      <w:r w:rsidRPr="00F10FB4">
        <w:rPr>
          <w:rFonts w:cstheme="minorHAnsi"/>
          <w:lang w:val="en-US"/>
        </w:rPr>
        <w:t xml:space="preserve">In this section I focus on three representative feature selection techniques. I combine </w:t>
      </w:r>
      <w:r w:rsidR="00F10FB4" w:rsidRPr="00F10FB4">
        <w:rPr>
          <w:rFonts w:cstheme="minorHAnsi"/>
          <w:lang w:val="en-US"/>
        </w:rPr>
        <w:t>Variance Inflation Factor (VIF)</w:t>
      </w:r>
      <w:r>
        <w:rPr>
          <w:rFonts w:cstheme="minorHAnsi"/>
          <w:lang w:val="en-US"/>
        </w:rPr>
        <w:t xml:space="preserve">, </w:t>
      </w:r>
      <w:r w:rsidR="00F10FB4">
        <w:rPr>
          <w:rFonts w:cstheme="minorHAnsi"/>
          <w:lang w:val="en-US"/>
        </w:rPr>
        <w:t>Recursive Forward Selection (</w:t>
      </w:r>
      <w:r>
        <w:rPr>
          <w:rFonts w:cstheme="minorHAnsi"/>
          <w:lang w:val="en-US"/>
        </w:rPr>
        <w:t>RFS</w:t>
      </w:r>
      <w:r w:rsidR="00F10FB4">
        <w:rPr>
          <w:rFonts w:cstheme="minorHAnsi"/>
          <w:lang w:val="en-US"/>
        </w:rPr>
        <w:t>)</w:t>
      </w:r>
      <w:r>
        <w:rPr>
          <w:rFonts w:cstheme="minorHAnsi"/>
          <w:lang w:val="en-US"/>
        </w:rPr>
        <w:t xml:space="preserve"> and Random Forest as Filter, Wrapper and Embedded methods.</w:t>
      </w:r>
      <w:r w:rsidR="00F10FB4">
        <w:rPr>
          <w:rFonts w:cstheme="minorHAnsi"/>
          <w:lang w:val="en-US"/>
        </w:rPr>
        <w:t xml:space="preserve"> </w:t>
      </w:r>
    </w:p>
    <w:p w14:paraId="09A5021F" w14:textId="47DA1325" w:rsidR="00F10FB4" w:rsidRDefault="00F10FB4" w:rsidP="00F10FB4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F10FB4">
        <w:rPr>
          <w:rFonts w:cstheme="minorHAnsi"/>
          <w:lang w:val="en-US"/>
        </w:rPr>
        <w:t>Each method looks at different aspect of feature engineering</w:t>
      </w:r>
      <w:r>
        <w:rPr>
          <w:rFonts w:cstheme="minorHAnsi"/>
          <w:lang w:val="en-US"/>
        </w:rPr>
        <w:t xml:space="preserve">. </w:t>
      </w:r>
    </w:p>
    <w:p w14:paraId="3D096523" w14:textId="77777777" w:rsidR="00F10FB4" w:rsidRDefault="00F10FB4" w:rsidP="00F10FB4">
      <w:pPr>
        <w:pStyle w:val="ListParagraph"/>
        <w:rPr>
          <w:rFonts w:cstheme="minorHAnsi"/>
          <w:lang w:val="en-US"/>
        </w:rPr>
      </w:pPr>
    </w:p>
    <w:p w14:paraId="198A26F1" w14:textId="1C53A66C" w:rsidR="00F10FB4" w:rsidRDefault="00F10FB4" w:rsidP="00F10FB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VIF measures the degree of variance explanation for predictor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i</m:t>
            </m:r>
          </m:sub>
        </m:sSub>
      </m:oMath>
      <w:r>
        <w:rPr>
          <w:rFonts w:eastAsiaTheme="minorEastAsia" w:cstheme="minorHAnsi"/>
          <w:lang w:val="en-US"/>
        </w:rPr>
        <w:t xml:space="preserve"> by other predictors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j≠</m:t>
            </m:r>
            <m:r>
              <w:rPr>
                <w:rFonts w:ascii="Cambria Math" w:hAnsi="Cambria Math" w:cstheme="minorHAnsi"/>
                <w:lang w:val="en-US"/>
              </w:rPr>
              <m:t>i</m:t>
            </m:r>
          </m:sub>
        </m:sSub>
      </m:oMath>
      <w:r>
        <w:rPr>
          <w:rFonts w:eastAsiaTheme="minorEastAsia" w:cstheme="minorHAnsi"/>
          <w:lang w:val="en-US"/>
        </w:rPr>
        <w:t xml:space="preserve"> using the formula:</w:t>
      </w:r>
    </w:p>
    <w:p w14:paraId="2191D2FE" w14:textId="3805A037" w:rsidR="00F10FB4" w:rsidRPr="00F10FB4" w:rsidRDefault="00F10FB4" w:rsidP="00F10FB4">
      <w:pPr>
        <w:pStyle w:val="ListParagraph"/>
        <w:rPr>
          <w:rFonts w:eastAsiaTheme="minorEastAsia" w:cstheme="min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VIF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lang w:val="en-US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5139036B" w14:textId="1914A284" w:rsidR="00826E0B" w:rsidRDefault="00F10FB4" w:rsidP="00F10FB4">
      <w:pPr>
        <w:pStyle w:val="ListParagraph"/>
        <w:rPr>
          <w:rFonts w:eastAsiaTheme="minorEastAsia" w:cstheme="minorHAnsi"/>
          <w:lang w:val="en-US"/>
        </w:rPr>
      </w:pPr>
      <w:r>
        <w:rPr>
          <w:rFonts w:cstheme="minorHAnsi"/>
          <w:lang w:val="en-US"/>
        </w:rPr>
        <w:t>When VIF is low</w:t>
      </w:r>
      <w:r w:rsidR="00826E0B">
        <w:rPr>
          <w:rFonts w:cstheme="minorHAnsi"/>
          <w:lang w:val="en-US"/>
        </w:rPr>
        <w:t>er</w:t>
      </w:r>
      <w:r>
        <w:rPr>
          <w:rFonts w:cstheme="minorHAnsi"/>
          <w:lang w:val="en-US"/>
        </w:rPr>
        <w:t xml:space="preserve"> it means that other predictors have low</w:t>
      </w:r>
      <w:r w:rsidR="00826E0B">
        <w:rPr>
          <w:rFonts w:cstheme="minorHAnsi"/>
          <w:lang w:val="en-US"/>
        </w:rPr>
        <w:t>er</w:t>
      </w:r>
      <w:r>
        <w:rPr>
          <w:rFonts w:cstheme="minorHAnsi"/>
          <w:lang w:val="en-US"/>
        </w:rPr>
        <w:t xml:space="preserve"> correlation with </w:t>
      </w:r>
      <w:r w:rsidR="00826E0B">
        <w:rPr>
          <w:rFonts w:cstheme="minorHAnsi"/>
          <w:lang w:val="en-US"/>
        </w:rPr>
        <w:t>predictor</w:t>
      </w:r>
      <w:r w:rsidR="00826E0B">
        <w:rPr>
          <w:rFonts w:eastAsiaTheme="minorEastAsia" w:cstheme="minorHAnsi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i</m:t>
            </m:r>
          </m:sub>
        </m:sSub>
      </m:oMath>
      <w:r w:rsidR="00826E0B">
        <w:rPr>
          <w:rFonts w:cstheme="minorHAnsi"/>
          <w:lang w:val="en-US"/>
        </w:rPr>
        <w:t xml:space="preserve">, hence it contains information which is less captured by other predictors. However, it does not imply that predictor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i</m:t>
            </m:r>
          </m:sub>
        </m:sSub>
      </m:oMath>
      <w:r w:rsidR="00826E0B">
        <w:rPr>
          <w:rFonts w:eastAsiaTheme="minorEastAsia" w:cstheme="minorHAnsi"/>
          <w:lang w:val="en-US"/>
        </w:rPr>
        <w:t xml:space="preserve"> has better explanatory power for target variable.</w:t>
      </w:r>
      <w:r w:rsidR="00F81AFB">
        <w:rPr>
          <w:rFonts w:eastAsiaTheme="minorEastAsia" w:cstheme="minorHAnsi"/>
          <w:lang w:val="en-US"/>
        </w:rPr>
        <w:t xml:space="preserve"> Therefore, this method only aims to pull “the most independent” features.</w:t>
      </w:r>
    </w:p>
    <w:p w14:paraId="5671E0B4" w14:textId="77777777" w:rsidR="00826E0B" w:rsidRDefault="00826E0B" w:rsidP="00F10FB4">
      <w:pPr>
        <w:pStyle w:val="ListParagraph"/>
        <w:rPr>
          <w:rFonts w:eastAsiaTheme="minorEastAsia" w:cstheme="minorHAnsi"/>
          <w:lang w:val="en-US"/>
        </w:rPr>
      </w:pPr>
    </w:p>
    <w:p w14:paraId="1DD6C51B" w14:textId="25E662EF" w:rsidR="00F10FB4" w:rsidRDefault="00826E0B" w:rsidP="00F10FB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Recursive Forward Selection filters </w:t>
      </w:r>
      <w:r w:rsidR="00F81AFB">
        <w:rPr>
          <w:rFonts w:cstheme="minorHAnsi"/>
          <w:lang w:val="en-US"/>
        </w:rPr>
        <w:t xml:space="preserve">out </w:t>
      </w:r>
      <w:r>
        <w:rPr>
          <w:rFonts w:cstheme="minorHAnsi"/>
          <w:lang w:val="en-US"/>
        </w:rPr>
        <w:t xml:space="preserve">predictors which have </w:t>
      </w:r>
      <w:r w:rsidR="00F81AFB">
        <w:rPr>
          <w:rFonts w:cstheme="minorHAnsi"/>
          <w:lang w:val="en-US"/>
        </w:rPr>
        <w:t>lower</w:t>
      </w:r>
      <w:r>
        <w:rPr>
          <w:rFonts w:cstheme="minorHAnsi"/>
          <w:lang w:val="en-US"/>
        </w:rPr>
        <w:t xml:space="preserve"> regression coefficients by magnitudes </w:t>
      </w:r>
      <w:r w:rsidR="00F81AFB">
        <w:rPr>
          <w:rFonts w:cstheme="minorHAnsi"/>
          <w:lang w:val="en-US"/>
        </w:rPr>
        <w:t xml:space="preserve">at each step. </w:t>
      </w:r>
      <w:r w:rsidR="0044177A">
        <w:rPr>
          <w:rFonts w:cstheme="minorHAnsi"/>
          <w:lang w:val="en-US"/>
        </w:rPr>
        <w:t xml:space="preserve">Unlike VIF, where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theme="minorHAnsi"/>
                <w:lang w:val="en-US"/>
              </w:rPr>
              <m:t>2</m:t>
            </m:r>
          </m:sup>
        </m:sSubSup>
      </m:oMath>
      <w:r w:rsidR="0044177A">
        <w:rPr>
          <w:rFonts w:cstheme="minorHAnsi"/>
          <w:lang w:val="en-US"/>
        </w:rPr>
        <w:t xml:space="preserve"> is invariant to feature scaling, t</w:t>
      </w:r>
      <w:r w:rsidR="00F81AFB">
        <w:rPr>
          <w:rFonts w:cstheme="minorHAnsi"/>
          <w:lang w:val="en-US"/>
        </w:rPr>
        <w:t xml:space="preserve">his technique requires feature </w:t>
      </w:r>
      <w:r w:rsidR="0044177A">
        <w:rPr>
          <w:rFonts w:cstheme="minorHAnsi"/>
          <w:lang w:val="en-US"/>
        </w:rPr>
        <w:t xml:space="preserve">standard </w:t>
      </w:r>
      <w:r w:rsidR="00F81AFB">
        <w:rPr>
          <w:rFonts w:cstheme="minorHAnsi"/>
          <w:lang w:val="en-US"/>
        </w:rPr>
        <w:t>scaling before fitting the model</w:t>
      </w:r>
      <w:r w:rsidR="0044177A">
        <w:rPr>
          <w:rFonts w:cstheme="minorHAnsi"/>
          <w:lang w:val="en-US"/>
        </w:rPr>
        <w:t xml:space="preserve"> because units of changes of predictors should be comparable when we interpret the results</w:t>
      </w:r>
      <w:r w:rsidR="00F81AFB">
        <w:rPr>
          <w:rFonts w:cstheme="minorHAnsi"/>
          <w:lang w:val="en-US"/>
        </w:rPr>
        <w:t xml:space="preserve">. </w:t>
      </w:r>
      <w:r w:rsidR="0044177A">
        <w:rPr>
          <w:rFonts w:cstheme="minorHAnsi"/>
          <w:lang w:val="en-US"/>
        </w:rPr>
        <w:t>T</w:t>
      </w:r>
      <w:r w:rsidR="00F81AFB">
        <w:rPr>
          <w:rFonts w:cstheme="minorHAnsi"/>
          <w:lang w:val="en-US"/>
        </w:rPr>
        <w:t>he method looks at different aspect of feature engineering answering the question: “</w:t>
      </w:r>
      <w:r w:rsidR="00DA7C68">
        <w:rPr>
          <w:rFonts w:cstheme="minorHAnsi"/>
          <w:lang w:val="en-US"/>
        </w:rPr>
        <w:t>how strongly a predictor changes the model’s estimated odds of positive market move, holding other predictors constant?”</w:t>
      </w:r>
      <w:r w:rsidR="00F81AFB">
        <w:rPr>
          <w:rFonts w:cstheme="minorHAnsi"/>
          <w:lang w:val="en-US"/>
        </w:rPr>
        <w:t xml:space="preserve"> </w:t>
      </w:r>
    </w:p>
    <w:p w14:paraId="60A6AE3A" w14:textId="7576C241" w:rsidR="00F81AFB" w:rsidRDefault="00F81AFB" w:rsidP="00F10FB4">
      <w:pPr>
        <w:pStyle w:val="ListParagraph"/>
        <w:rPr>
          <w:rFonts w:cstheme="minorHAnsi"/>
          <w:lang w:val="en-US"/>
        </w:rPr>
      </w:pPr>
    </w:p>
    <w:p w14:paraId="680739FD" w14:textId="718FD297" w:rsidR="00F81AFB" w:rsidRDefault="00DD33FC" w:rsidP="00F10FB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Assuming sigmoid function for probability estimation</w:t>
      </w:r>
      <w:r w:rsidR="00DA7C68">
        <w:rPr>
          <w:rFonts w:cstheme="minorHAnsi"/>
          <w:lang w:val="en-US"/>
        </w:rPr>
        <w:t>:</w:t>
      </w:r>
    </w:p>
    <w:p w14:paraId="1697DA4F" w14:textId="208BC6DE" w:rsidR="00DA7C68" w:rsidRPr="00DA7C68" w:rsidRDefault="00DA7C68" w:rsidP="00F10FB4">
      <w:pPr>
        <w:pStyle w:val="ListParagraph"/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P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y=1</m:t>
              </m:r>
            </m:e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theme="minorHAnsi"/>
                      <w:lang w:val="en-US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theme="minorHAnsi"/>
                      <w:lang w:val="en-US"/>
                    </w:rPr>
                    <m:t>)</m:t>
                  </m:r>
                </m:sup>
              </m:sSup>
            </m:den>
          </m:f>
        </m:oMath>
      </m:oMathPara>
    </w:p>
    <w:p w14:paraId="54B3470F" w14:textId="7C1A0593" w:rsidR="00DA7C68" w:rsidRDefault="00DA7C68" w:rsidP="00F10FB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By maximizing the likelihood function</w:t>
      </w:r>
      <w:r w:rsidR="00DD33FC">
        <w:rPr>
          <w:rFonts w:cstheme="minorHAnsi"/>
          <w:lang w:val="en-US"/>
        </w:rPr>
        <w:t xml:space="preserve"> using log-transformation</w:t>
      </w:r>
      <w:r>
        <w:rPr>
          <w:rFonts w:cstheme="minorHAnsi"/>
          <w:lang w:val="en-US"/>
        </w:rPr>
        <w:t>:</w:t>
      </w:r>
    </w:p>
    <w:p w14:paraId="2732F44C" w14:textId="0D54D9E2" w:rsidR="00DA7C68" w:rsidRPr="00DD33FC" w:rsidRDefault="00DA7C68" w:rsidP="00F10FB4">
      <w:pPr>
        <w:pStyle w:val="ListParagraph"/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 xml:space="preserve">L= </m:t>
          </m:r>
          <m:nary>
            <m:naryPr>
              <m:chr m:val="∏"/>
              <m:limLoc m:val="undOvr"/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theme="minorHAnsi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=1</m:t>
                      </m:r>
                    </m:e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X</m:t>
                      </m:r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hAnsi="Cambria Math" w:cstheme="minorHAnsi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=1</m:t>
                      </m:r>
                    </m:e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theme="minorHAnsi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7F4DCF83" w14:textId="322DC610" w:rsidR="00DD33FC" w:rsidRDefault="00DD33FC" w:rsidP="00DD33FC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We obtain l</w:t>
      </w:r>
      <w:r>
        <w:rPr>
          <w:rFonts w:cstheme="minorHAnsi"/>
          <w:lang w:val="en-US"/>
        </w:rPr>
        <w:t>ogistic regression estimates:</w:t>
      </w:r>
    </w:p>
    <w:p w14:paraId="21142171" w14:textId="3D099AD9" w:rsidR="00DD33FC" w:rsidRPr="00DD33FC" w:rsidRDefault="00DD33FC" w:rsidP="00DD33FC">
      <w:pPr>
        <w:pStyle w:val="ListParagraph"/>
        <w:rPr>
          <w:rFonts w:eastAsiaTheme="minorEastAsia" w:cstheme="minorHAnsi"/>
          <w:lang w:val="en-US"/>
        </w:rPr>
      </w:pPr>
      <m:oMathPara>
        <m:oMath>
          <m:func>
            <m:func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1-p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theme="minorHAnsi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0</m:t>
              </m:r>
            </m:sub>
          </m:sSub>
          <m:r>
            <w:rPr>
              <w:rFonts w:ascii="Cambria Math" w:hAnsi="Cambria Math" w:cstheme="minorHAns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n-US"/>
            </w:rPr>
            <m:t>+ .. +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k</m:t>
              </m:r>
            </m:sub>
          </m:sSub>
        </m:oMath>
      </m:oMathPara>
    </w:p>
    <w:p w14:paraId="348657B7" w14:textId="6254D825" w:rsidR="00DD33FC" w:rsidRDefault="00DD33FC" w:rsidP="00DD33FC">
      <w:pPr>
        <w:pStyle w:val="ListParagrap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 xml:space="preserve">Where one unit increase of predictor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i</m:t>
            </m:r>
          </m:sub>
        </m:sSub>
      </m:oMath>
      <w:r>
        <w:rPr>
          <w:rFonts w:eastAsiaTheme="minorEastAsia" w:cstheme="minorHAnsi"/>
          <w:lang w:val="en-US"/>
        </w:rPr>
        <w:t xml:space="preserve"> multiplies the odds of positive signal by:</w:t>
      </w:r>
    </w:p>
    <w:p w14:paraId="6BF4DF00" w14:textId="11727F34" w:rsidR="00DD33FC" w:rsidRPr="00DD33FC" w:rsidRDefault="00DD33FC" w:rsidP="00DD33FC">
      <w:pPr>
        <w:pStyle w:val="ListParagraph"/>
        <w:rPr>
          <w:rFonts w:eastAsiaTheme="minorEastAsia" w:cstheme="min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OR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j</m:t>
              </m:r>
            </m:sub>
          </m:sSub>
          <m:r>
            <w:rPr>
              <w:rFonts w:ascii="Cambria Math" w:hAnsi="Cambria Math" w:cstheme="minorHAnsi"/>
              <w:lang w:val="en-U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lang w:val="en-US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j</m:t>
                  </m:r>
                </m:sub>
              </m:sSub>
            </m:sup>
          </m:sSup>
        </m:oMath>
      </m:oMathPara>
    </w:p>
    <w:p w14:paraId="70869B4B" w14:textId="77777777" w:rsidR="00DD33FC" w:rsidRDefault="00DD33FC" w:rsidP="00DD33FC">
      <w:pPr>
        <w:pStyle w:val="ListParagraph"/>
        <w:rPr>
          <w:rFonts w:cstheme="minorHAnsi"/>
          <w:lang w:val="en-US"/>
        </w:rPr>
      </w:pPr>
    </w:p>
    <w:p w14:paraId="0B3761C9" w14:textId="3CBD6404" w:rsidR="00DD33FC" w:rsidRDefault="00B61785" w:rsidP="00F10FB4">
      <w:pPr>
        <w:pStyle w:val="ListParagraph"/>
        <w:rPr>
          <w:rFonts w:eastAsiaTheme="minorEastAsia" w:cstheme="minorHAnsi"/>
          <w:lang w:val="en-US"/>
        </w:rPr>
      </w:pPr>
      <w:r>
        <w:rPr>
          <w:rFonts w:cstheme="minorHAnsi"/>
          <w:lang w:val="en-US"/>
        </w:rPr>
        <w:t xml:space="preserve">Unlike logistic regression, Random Forest does not estimate coefficients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β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j</m:t>
            </m:r>
          </m:sub>
        </m:sSub>
      </m:oMath>
      <w:r>
        <w:rPr>
          <w:rFonts w:eastAsiaTheme="minorEastAsia" w:cstheme="minorHAnsi"/>
          <w:lang w:val="en-US"/>
        </w:rPr>
        <w:t>. Instead, each decision tree chooses feature splits that reduce node impurity. For classification, I use Gini impurity measure which equals for binary target:</w:t>
      </w:r>
    </w:p>
    <w:p w14:paraId="48B2BDDA" w14:textId="30EEA7EA" w:rsidR="00B61785" w:rsidRPr="00393E64" w:rsidRDefault="00B61785" w:rsidP="00F10FB4">
      <w:pPr>
        <w:pStyle w:val="ListParagraph"/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=2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t</m:t>
              </m:r>
            </m:sub>
          </m:sSub>
          <m:r>
            <w:rPr>
              <w:rFonts w:ascii="Cambria Math" w:hAnsi="Cambria Math" w:cstheme="minorHAnsi"/>
              <w:lang w:val="en-US"/>
            </w:rPr>
            <m:t>(1-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t</m:t>
              </m:r>
            </m:sub>
          </m:sSub>
          <m:r>
            <w:rPr>
              <w:rFonts w:ascii="Cambria Math" w:hAnsi="Cambria Math" w:cstheme="minorHAnsi"/>
              <w:lang w:val="en-US"/>
            </w:rPr>
            <m:t>)</m:t>
          </m:r>
        </m:oMath>
      </m:oMathPara>
    </w:p>
    <w:p w14:paraId="4EAC7FD1" w14:textId="36C57AC5" w:rsidR="00393E64" w:rsidRDefault="00393E64" w:rsidP="00F10FB4">
      <w:pPr>
        <w:pStyle w:val="ListParagraph"/>
        <w:rPr>
          <w:rFonts w:cstheme="minorHAnsi"/>
          <w:lang w:val="en-US"/>
        </w:rPr>
      </w:pPr>
    </w:p>
    <w:p w14:paraId="5103A604" w14:textId="43E349F6" w:rsidR="00393E64" w:rsidRDefault="00393E64" w:rsidP="00F10FB4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The impurity reduction from splitting node t is:</w:t>
      </w:r>
    </w:p>
    <w:p w14:paraId="019945A7" w14:textId="134E4A5D" w:rsidR="00393E64" w:rsidRPr="00393E64" w:rsidRDefault="00393E64" w:rsidP="00F10FB4">
      <w:pPr>
        <w:pStyle w:val="ListParagraph"/>
        <w:rPr>
          <w:rFonts w:eastAsiaTheme="minorEastAsia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Δ</m:t>
          </m:r>
          <m:r>
            <w:rPr>
              <w:rFonts w:ascii="Cambria Math" w:hAnsi="Cambria Math" w:cstheme="minorHAnsi"/>
              <w:lang w:val="en-US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>=G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t</m:t>
              </m:r>
            </m:e>
          </m:d>
          <m:r>
            <w:rPr>
              <w:rFonts w:ascii="Cambria Math" w:hAnsi="Cambria Math" w:cstheme="minorHAnsi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theme="minorHAnsi"/>
              <w:lang w:val="en-US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L</m:t>
              </m:r>
            </m:e>
          </m:d>
          <m:r>
            <w:rPr>
              <w:rFonts w:ascii="Cambria Math" w:hAnsi="Cambria Math" w:cstheme="minorHAnsi"/>
              <w:lang w:val="en-US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theme="minorHAnsi"/>
              <w:lang w:val="en-US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R</m:t>
              </m:r>
            </m:e>
          </m:d>
        </m:oMath>
      </m:oMathPara>
    </w:p>
    <w:p w14:paraId="3D878782" w14:textId="13666923" w:rsidR="00393E64" w:rsidRDefault="00393E64" w:rsidP="00F10FB4">
      <w:pPr>
        <w:pStyle w:val="ListParagraph"/>
        <w:rPr>
          <w:rFonts w:eastAsiaTheme="minorEastAsia" w:cstheme="minorHAnsi"/>
          <w:lang w:val="en-US"/>
        </w:rPr>
      </w:pPr>
    </w:p>
    <w:p w14:paraId="5ADC0E33" w14:textId="726C99CC" w:rsidR="00393E64" w:rsidRDefault="00393E64" w:rsidP="00F10FB4">
      <w:pPr>
        <w:pStyle w:val="ListParagraph"/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 xml:space="preserve">The importance of feature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j</m:t>
            </m:r>
          </m:sub>
        </m:sSub>
      </m:oMath>
      <w:r>
        <w:rPr>
          <w:rFonts w:eastAsiaTheme="minorEastAsia" w:cstheme="minorHAnsi"/>
          <w:lang w:val="en-US"/>
        </w:rPr>
        <w:t xml:space="preserve"> aggregates the weighted impurity reductions across all splits using that feature, averaged across trees and normalized.</w:t>
      </w:r>
    </w:p>
    <w:p w14:paraId="4B551E05" w14:textId="59DA0B74" w:rsidR="00393E64" w:rsidRPr="00393E64" w:rsidRDefault="00393E64" w:rsidP="00F10FB4">
      <w:pPr>
        <w:pStyle w:val="ListParagraph"/>
        <w:rPr>
          <w:rFonts w:eastAsiaTheme="minorEastAsia" w:cstheme="min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j</m:t>
              </m:r>
            </m:sub>
          </m:sSub>
          <m:r>
            <w:rPr>
              <w:rFonts w:ascii="Cambria Math" w:hAnsi="Cambria Math" w:cstheme="minorHAnsi"/>
              <w:lang w:val="en-US"/>
            </w:rPr>
            <m:t>∝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theme="minorHAnsi"/>
                  <w:lang w:val="en-US"/>
                </w:rPr>
                <m:t>trees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t:</m:t>
                      </m:r>
                    </m:e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split on j</m:t>
                      </m:r>
                    </m:e>
                  </m:eqArr>
                </m:sub>
                <m:sup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lang w:val="en-US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t</m:t>
                      </m:r>
                    </m:e>
                  </m:d>
                </m:e>
              </m:nary>
            </m:e>
          </m:nary>
        </m:oMath>
      </m:oMathPara>
    </w:p>
    <w:p w14:paraId="1CF64F5D" w14:textId="304F5DAE" w:rsidR="00393E64" w:rsidRDefault="00393E64" w:rsidP="00F10FB4">
      <w:pPr>
        <w:pStyle w:val="ListParagraph"/>
        <w:rPr>
          <w:rFonts w:eastAsiaTheme="minorEastAsia" w:cstheme="minorHAnsi"/>
          <w:lang w:val="en-US"/>
        </w:rPr>
      </w:pPr>
    </w:p>
    <w:p w14:paraId="6FC9AD35" w14:textId="1DFB2983" w:rsidR="00393E64" w:rsidRDefault="00393E64" w:rsidP="00F10FB4">
      <w:pPr>
        <w:pStyle w:val="ListParagraph"/>
        <w:rPr>
          <w:rFonts w:cstheme="minorHAnsi"/>
          <w:lang w:val="en-US"/>
        </w:rPr>
      </w:pPr>
      <w:r>
        <w:rPr>
          <w:rFonts w:eastAsiaTheme="minorEastAsia" w:cstheme="minorHAnsi"/>
          <w:lang w:val="en-US"/>
        </w:rPr>
        <w:t>A feature with high</w:t>
      </w:r>
      <w:r w:rsidR="00A172A1">
        <w:rPr>
          <w:rFonts w:eastAsiaTheme="minorEastAsia" w:cstheme="minorHAnsi"/>
          <w:lang w:val="en-US"/>
        </w:rPr>
        <w:t>er</w:t>
      </w:r>
      <w:r>
        <w:rPr>
          <w:rFonts w:eastAsiaTheme="minorEastAsia" w:cstheme="minorHAnsi"/>
          <w:lang w:val="en-US"/>
        </w:rPr>
        <w:t xml:space="preserve"> importance means it </w:t>
      </w:r>
      <w:r w:rsidR="00A172A1">
        <w:rPr>
          <w:rFonts w:eastAsiaTheme="minorEastAsia" w:cstheme="minorHAnsi"/>
          <w:lang w:val="en-US"/>
        </w:rPr>
        <w:t xml:space="preserve">contributes more to distinguish market conditions with positive moves from noise and negative moves, allowing for nonlinear relationships and interactions between predictors. </w:t>
      </w:r>
    </w:p>
    <w:p w14:paraId="2EC9EE2F" w14:textId="77777777" w:rsidR="00393E64" w:rsidRPr="00F10FB4" w:rsidRDefault="00393E64" w:rsidP="00F10FB4">
      <w:pPr>
        <w:pStyle w:val="ListParagraph"/>
        <w:rPr>
          <w:rFonts w:cstheme="minorHAnsi"/>
          <w:lang w:val="en-US"/>
        </w:rPr>
      </w:pPr>
    </w:p>
    <w:p w14:paraId="3091AC92" w14:textId="2D5E5D5B" w:rsidR="00F10FB4" w:rsidRPr="00F10FB4" w:rsidRDefault="00F10FB4" w:rsidP="00F10FB4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</w:p>
    <w:p w14:paraId="3B91CB23" w14:textId="632ABEAD" w:rsidR="004216D1" w:rsidRDefault="004216D1" w:rsidP="00056F15">
      <w:pPr>
        <w:rPr>
          <w:rFonts w:cstheme="minorHAnsi"/>
          <w:lang w:val="en-US"/>
        </w:rPr>
      </w:pPr>
    </w:p>
    <w:p w14:paraId="79E1DF31" w14:textId="693C4DAA" w:rsidR="004216D1" w:rsidRDefault="004216D1" w:rsidP="00056F15">
      <w:pPr>
        <w:rPr>
          <w:rFonts w:cstheme="minorHAnsi"/>
          <w:lang w:val="en-US"/>
        </w:rPr>
      </w:pPr>
    </w:p>
    <w:p w14:paraId="497C5E21" w14:textId="4333FCFE" w:rsidR="004216D1" w:rsidRDefault="004216D1" w:rsidP="00056F15">
      <w:pPr>
        <w:rPr>
          <w:rFonts w:cstheme="minorHAnsi"/>
          <w:lang w:val="en-US"/>
        </w:rPr>
      </w:pPr>
    </w:p>
    <w:p w14:paraId="3C7D706B" w14:textId="334E9209" w:rsidR="004216D1" w:rsidRDefault="004216D1" w:rsidP="00056F15">
      <w:pPr>
        <w:rPr>
          <w:rFonts w:cstheme="minorHAnsi"/>
          <w:lang w:val="en-US"/>
        </w:rPr>
      </w:pPr>
    </w:p>
    <w:p w14:paraId="684542F3" w14:textId="66169DC1" w:rsidR="004216D1" w:rsidRPr="004216D1" w:rsidRDefault="004216D1" w:rsidP="00056F15">
      <w:pPr>
        <w:rPr>
          <w:rFonts w:cstheme="minorHAnsi"/>
          <w:b/>
          <w:bCs/>
          <w:sz w:val="28"/>
          <w:szCs w:val="28"/>
          <w:lang w:val="en-US"/>
        </w:rPr>
      </w:pPr>
      <w:r w:rsidRPr="004216D1">
        <w:rPr>
          <w:rFonts w:cstheme="minorHAnsi"/>
          <w:b/>
          <w:bCs/>
          <w:sz w:val="28"/>
          <w:szCs w:val="28"/>
          <w:lang w:val="en-US"/>
        </w:rPr>
        <w:t>Appendix</w:t>
      </w:r>
    </w:p>
    <w:p w14:paraId="11DC0CFB" w14:textId="77777777" w:rsidR="004216D1" w:rsidRDefault="004216D1" w:rsidP="00056F1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Feature pool, transformations and summary tables:</w:t>
      </w:r>
    </w:p>
    <w:p w14:paraId="38547435" w14:textId="0F3E3EB5" w:rsidR="00460B61" w:rsidRDefault="00460B61" w:rsidP="00460B61">
      <w:pPr>
        <w:pStyle w:val="Heading1"/>
      </w:pPr>
      <w:r>
        <w:t xml:space="preserve">Original features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60B61" w:rsidRPr="00460B61" w14:paraId="51B29E74" w14:textId="77777777" w:rsidTr="00A56186">
        <w:tc>
          <w:tcPr>
            <w:tcW w:w="2160" w:type="dxa"/>
          </w:tcPr>
          <w:p w14:paraId="1AFAE222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Feature</w:t>
            </w:r>
          </w:p>
        </w:tc>
        <w:tc>
          <w:tcPr>
            <w:tcW w:w="2160" w:type="dxa"/>
          </w:tcPr>
          <w:p w14:paraId="25C1F3C4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Meaning</w:t>
            </w:r>
          </w:p>
        </w:tc>
        <w:tc>
          <w:tcPr>
            <w:tcW w:w="2160" w:type="dxa"/>
          </w:tcPr>
          <w:p w14:paraId="1CB16FA3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Data type</w:t>
            </w:r>
          </w:p>
        </w:tc>
        <w:tc>
          <w:tcPr>
            <w:tcW w:w="2160" w:type="dxa"/>
          </w:tcPr>
          <w:p w14:paraId="5E1473FD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Missing values after volume cleaning</w:t>
            </w:r>
          </w:p>
        </w:tc>
      </w:tr>
      <w:tr w:rsidR="00460B61" w14:paraId="0D1A2527" w14:textId="77777777" w:rsidTr="00A56186">
        <w:tc>
          <w:tcPr>
            <w:tcW w:w="2160" w:type="dxa"/>
          </w:tcPr>
          <w:p w14:paraId="4C75B769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open</w:t>
            </w:r>
          </w:p>
        </w:tc>
        <w:tc>
          <w:tcPr>
            <w:tcW w:w="2160" w:type="dxa"/>
          </w:tcPr>
          <w:p w14:paraId="5B0A06DE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Opening price for the trading session.</w:t>
            </w:r>
          </w:p>
        </w:tc>
        <w:tc>
          <w:tcPr>
            <w:tcW w:w="2160" w:type="dxa"/>
          </w:tcPr>
          <w:p w14:paraId="2AB656AE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float64</w:t>
            </w:r>
          </w:p>
        </w:tc>
        <w:tc>
          <w:tcPr>
            <w:tcW w:w="2160" w:type="dxa"/>
          </w:tcPr>
          <w:p w14:paraId="3028177F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0</w:t>
            </w:r>
          </w:p>
        </w:tc>
      </w:tr>
      <w:tr w:rsidR="00460B61" w14:paraId="4052E447" w14:textId="77777777" w:rsidTr="00A56186">
        <w:tc>
          <w:tcPr>
            <w:tcW w:w="2160" w:type="dxa"/>
          </w:tcPr>
          <w:p w14:paraId="3F0FFD9E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high</w:t>
            </w:r>
          </w:p>
        </w:tc>
        <w:tc>
          <w:tcPr>
            <w:tcW w:w="2160" w:type="dxa"/>
          </w:tcPr>
          <w:p w14:paraId="638175EE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Highest traded price during the trading session.</w:t>
            </w:r>
          </w:p>
        </w:tc>
        <w:tc>
          <w:tcPr>
            <w:tcW w:w="2160" w:type="dxa"/>
          </w:tcPr>
          <w:p w14:paraId="78961C00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float64</w:t>
            </w:r>
          </w:p>
        </w:tc>
        <w:tc>
          <w:tcPr>
            <w:tcW w:w="2160" w:type="dxa"/>
          </w:tcPr>
          <w:p w14:paraId="31BD2576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0</w:t>
            </w:r>
          </w:p>
        </w:tc>
      </w:tr>
      <w:tr w:rsidR="00460B61" w14:paraId="25554E55" w14:textId="77777777" w:rsidTr="00A56186">
        <w:tc>
          <w:tcPr>
            <w:tcW w:w="2160" w:type="dxa"/>
          </w:tcPr>
          <w:p w14:paraId="470C4B6A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low</w:t>
            </w:r>
          </w:p>
        </w:tc>
        <w:tc>
          <w:tcPr>
            <w:tcW w:w="2160" w:type="dxa"/>
          </w:tcPr>
          <w:p w14:paraId="3DB5F042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Lowest traded price during the trading session.</w:t>
            </w:r>
          </w:p>
        </w:tc>
        <w:tc>
          <w:tcPr>
            <w:tcW w:w="2160" w:type="dxa"/>
          </w:tcPr>
          <w:p w14:paraId="07CEEA26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float64</w:t>
            </w:r>
          </w:p>
        </w:tc>
        <w:tc>
          <w:tcPr>
            <w:tcW w:w="2160" w:type="dxa"/>
          </w:tcPr>
          <w:p w14:paraId="27F962F0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0</w:t>
            </w:r>
          </w:p>
        </w:tc>
      </w:tr>
      <w:tr w:rsidR="00460B61" w14:paraId="5CCD1551" w14:textId="77777777" w:rsidTr="00A56186">
        <w:tc>
          <w:tcPr>
            <w:tcW w:w="2160" w:type="dxa"/>
          </w:tcPr>
          <w:p w14:paraId="54AACEBF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close</w:t>
            </w:r>
          </w:p>
        </w:tc>
        <w:tc>
          <w:tcPr>
            <w:tcW w:w="2160" w:type="dxa"/>
          </w:tcPr>
          <w:p w14:paraId="37CA543F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Closing price for the trading session.</w:t>
            </w:r>
          </w:p>
        </w:tc>
        <w:tc>
          <w:tcPr>
            <w:tcW w:w="2160" w:type="dxa"/>
          </w:tcPr>
          <w:p w14:paraId="680ECD13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float64</w:t>
            </w:r>
          </w:p>
        </w:tc>
        <w:tc>
          <w:tcPr>
            <w:tcW w:w="2160" w:type="dxa"/>
          </w:tcPr>
          <w:p w14:paraId="1ADE4A17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0</w:t>
            </w:r>
          </w:p>
        </w:tc>
      </w:tr>
      <w:tr w:rsidR="00460B61" w14:paraId="2899AC5B" w14:textId="77777777" w:rsidTr="00A56186">
        <w:tc>
          <w:tcPr>
            <w:tcW w:w="2160" w:type="dxa"/>
          </w:tcPr>
          <w:p w14:paraId="42B7B0C6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volume</w:t>
            </w:r>
          </w:p>
        </w:tc>
        <w:tc>
          <w:tcPr>
            <w:tcW w:w="2160" w:type="dxa"/>
          </w:tcPr>
          <w:p w14:paraId="1C05686F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Number of shares traded during the trading session.</w:t>
            </w:r>
          </w:p>
        </w:tc>
        <w:tc>
          <w:tcPr>
            <w:tcW w:w="2160" w:type="dxa"/>
          </w:tcPr>
          <w:p w14:paraId="16842F43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int64</w:t>
            </w:r>
          </w:p>
        </w:tc>
        <w:tc>
          <w:tcPr>
            <w:tcW w:w="2160" w:type="dxa"/>
          </w:tcPr>
          <w:p w14:paraId="6815D502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0</w:t>
            </w:r>
          </w:p>
        </w:tc>
      </w:tr>
    </w:tbl>
    <w:p w14:paraId="2A75F7DA" w14:textId="77777777" w:rsidR="00460B61" w:rsidRDefault="00460B61" w:rsidP="00460B61">
      <w:pPr>
        <w:pStyle w:val="Heading1"/>
      </w:pPr>
      <w:r>
        <w:t>Loaded data and initial cleaning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0B61" w14:paraId="14546542" w14:textId="77777777" w:rsidTr="00A56186">
        <w:tc>
          <w:tcPr>
            <w:tcW w:w="4320" w:type="dxa"/>
          </w:tcPr>
          <w:p w14:paraId="0AB2230A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Item</w:t>
            </w:r>
          </w:p>
        </w:tc>
        <w:tc>
          <w:tcPr>
            <w:tcW w:w="4320" w:type="dxa"/>
          </w:tcPr>
          <w:p w14:paraId="6EF6FCFD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Result</w:t>
            </w:r>
          </w:p>
        </w:tc>
      </w:tr>
      <w:tr w:rsidR="00460B61" w14:paraId="647B8853" w14:textId="77777777" w:rsidTr="00A56186">
        <w:tc>
          <w:tcPr>
            <w:tcW w:w="4320" w:type="dxa"/>
          </w:tcPr>
          <w:p w14:paraId="04BD4576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Symbol</w:t>
            </w:r>
          </w:p>
        </w:tc>
        <w:tc>
          <w:tcPr>
            <w:tcW w:w="4320" w:type="dxa"/>
          </w:tcPr>
          <w:p w14:paraId="6C1E60FC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SPY</w:t>
            </w:r>
          </w:p>
        </w:tc>
      </w:tr>
      <w:tr w:rsidR="00460B61" w14:paraId="12F12E08" w14:textId="77777777" w:rsidTr="00A56186">
        <w:tc>
          <w:tcPr>
            <w:tcW w:w="4320" w:type="dxa"/>
          </w:tcPr>
          <w:p w14:paraId="7229BDD4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Requested start date</w:t>
            </w:r>
          </w:p>
        </w:tc>
        <w:tc>
          <w:tcPr>
            <w:tcW w:w="4320" w:type="dxa"/>
          </w:tcPr>
          <w:p w14:paraId="46645A83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2010-01-01</w:t>
            </w:r>
          </w:p>
        </w:tc>
      </w:tr>
      <w:tr w:rsidR="00460B61" w14:paraId="546D905F" w14:textId="77777777" w:rsidTr="00A56186">
        <w:tc>
          <w:tcPr>
            <w:tcW w:w="4320" w:type="dxa"/>
          </w:tcPr>
          <w:p w14:paraId="497FA599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Downloaded rows</w:t>
            </w:r>
          </w:p>
        </w:tc>
        <w:tc>
          <w:tcPr>
            <w:tcW w:w="4320" w:type="dxa"/>
          </w:tcPr>
          <w:p w14:paraId="4100BD5E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4218</w:t>
            </w:r>
          </w:p>
        </w:tc>
      </w:tr>
      <w:tr w:rsidR="00460B61" w14:paraId="1515D93A" w14:textId="77777777" w:rsidTr="00A56186">
        <w:tc>
          <w:tcPr>
            <w:tcW w:w="4320" w:type="dxa"/>
          </w:tcPr>
          <w:p w14:paraId="0A486275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Rows removed for zero volume</w:t>
            </w:r>
          </w:p>
        </w:tc>
        <w:tc>
          <w:tcPr>
            <w:tcW w:w="4320" w:type="dxa"/>
          </w:tcPr>
          <w:p w14:paraId="15F5E318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0</w:t>
            </w:r>
          </w:p>
        </w:tc>
      </w:tr>
      <w:tr w:rsidR="00460B61" w14:paraId="43F33731" w14:textId="77777777" w:rsidTr="00A56186">
        <w:tc>
          <w:tcPr>
            <w:tcW w:w="4320" w:type="dxa"/>
          </w:tcPr>
          <w:p w14:paraId="023B40D1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Rows after zero-volume cleaning</w:t>
            </w:r>
          </w:p>
        </w:tc>
        <w:tc>
          <w:tcPr>
            <w:tcW w:w="4320" w:type="dxa"/>
          </w:tcPr>
          <w:p w14:paraId="363254FD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4218</w:t>
            </w:r>
          </w:p>
        </w:tc>
      </w:tr>
      <w:tr w:rsidR="00460B61" w14:paraId="42CB61F9" w14:textId="77777777" w:rsidTr="00A56186">
        <w:tc>
          <w:tcPr>
            <w:tcW w:w="4320" w:type="dxa"/>
          </w:tcPr>
          <w:p w14:paraId="64993601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Date range after cleaning</w:t>
            </w:r>
          </w:p>
        </w:tc>
        <w:tc>
          <w:tcPr>
            <w:tcW w:w="4320" w:type="dxa"/>
          </w:tcPr>
          <w:p w14:paraId="64B9B115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2010-01-04 00:00:00 to 2026-10-09 00:00:00</w:t>
            </w:r>
          </w:p>
        </w:tc>
      </w:tr>
    </w:tbl>
    <w:p w14:paraId="0F7A6427" w14:textId="77777777" w:rsidR="00460B61" w:rsidRPr="00460B61" w:rsidRDefault="00460B61" w:rsidP="00460B61">
      <w:pPr>
        <w:rPr>
          <w:lang w:val="en-US"/>
        </w:rPr>
      </w:pPr>
      <w:r w:rsidRPr="00460B61">
        <w:rPr>
          <w:lang w:val="en-US"/>
        </w:rPr>
        <w:t>This section is a starter summary. The following pipeline calls append the engineered-feature, row-cleaning, and selected-feature results.</w:t>
      </w:r>
    </w:p>
    <w:p w14:paraId="6560E5B6" w14:textId="77777777" w:rsidR="00460B61" w:rsidRDefault="00460B61" w:rsidP="00460B61">
      <w:pPr>
        <w:pStyle w:val="Heading1"/>
      </w:pPr>
      <w:r>
        <w:t>New features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0B61" w14:paraId="366A6C5F" w14:textId="77777777" w:rsidTr="00A56186">
        <w:tc>
          <w:tcPr>
            <w:tcW w:w="2880" w:type="dxa"/>
          </w:tcPr>
          <w:p w14:paraId="51596423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Feature</w:t>
            </w:r>
          </w:p>
        </w:tc>
        <w:tc>
          <w:tcPr>
            <w:tcW w:w="2880" w:type="dxa"/>
          </w:tcPr>
          <w:p w14:paraId="6D637791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Transformation</w:t>
            </w:r>
          </w:p>
        </w:tc>
        <w:tc>
          <w:tcPr>
            <w:tcW w:w="2880" w:type="dxa"/>
          </w:tcPr>
          <w:p w14:paraId="1BEEE240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b/>
                <w:sz w:val="16"/>
                <w:szCs w:val="16"/>
              </w:rPr>
              <w:t>Economic interpretation</w:t>
            </w:r>
          </w:p>
        </w:tc>
      </w:tr>
      <w:tr w:rsidR="00460B61" w14:paraId="640D302F" w14:textId="77777777" w:rsidTr="00A56186">
        <w:tc>
          <w:tcPr>
            <w:tcW w:w="2880" w:type="dxa"/>
          </w:tcPr>
          <w:p w14:paraId="2BCC380D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OC</w:t>
            </w:r>
          </w:p>
        </w:tc>
        <w:tc>
          <w:tcPr>
            <w:tcW w:w="2880" w:type="dxa"/>
          </w:tcPr>
          <w:p w14:paraId="548F25C2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Open-to-close price difference.</w:t>
            </w:r>
          </w:p>
        </w:tc>
        <w:tc>
          <w:tcPr>
            <w:tcW w:w="2880" w:type="dxa"/>
          </w:tcPr>
          <w:p w14:paraId="12A877EB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Intraday directional price movement.</w:t>
            </w:r>
          </w:p>
        </w:tc>
      </w:tr>
      <w:tr w:rsidR="00460B61" w14:paraId="2B9E9CC8" w14:textId="77777777" w:rsidTr="00A56186">
        <w:tc>
          <w:tcPr>
            <w:tcW w:w="2880" w:type="dxa"/>
          </w:tcPr>
          <w:p w14:paraId="68FE75A8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HC</w:t>
            </w:r>
          </w:p>
        </w:tc>
        <w:tc>
          <w:tcPr>
            <w:tcW w:w="2880" w:type="dxa"/>
          </w:tcPr>
          <w:p w14:paraId="04F48E2B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High-to-low price difference.</w:t>
            </w:r>
          </w:p>
        </w:tc>
        <w:tc>
          <w:tcPr>
            <w:tcW w:w="2880" w:type="dxa"/>
          </w:tcPr>
          <w:p w14:paraId="34FEBCD2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Intraday trading range.</w:t>
            </w:r>
          </w:p>
        </w:tc>
      </w:tr>
      <w:tr w:rsidR="00460B61" w14:paraId="03C669DF" w14:textId="77777777" w:rsidTr="00A56186">
        <w:tc>
          <w:tcPr>
            <w:tcW w:w="2880" w:type="dxa"/>
          </w:tcPr>
          <w:p w14:paraId="7EF16BFC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GAP</w:t>
            </w:r>
          </w:p>
        </w:tc>
        <w:tc>
          <w:tcPr>
            <w:tcW w:w="2880" w:type="dxa"/>
          </w:tcPr>
          <w:p w14:paraId="0EC89FC1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Percentage gap up or down.</w:t>
            </w:r>
          </w:p>
        </w:tc>
        <w:tc>
          <w:tcPr>
            <w:tcW w:w="2880" w:type="dxa"/>
          </w:tcPr>
          <w:p w14:paraId="41A576AC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Overnight repricing between sessions.</w:t>
            </w:r>
          </w:p>
        </w:tc>
      </w:tr>
      <w:tr w:rsidR="00460B61" w:rsidRPr="00460B61" w14:paraId="3C8F29B9" w14:textId="77777777" w:rsidTr="00A56186">
        <w:tc>
          <w:tcPr>
            <w:tcW w:w="2880" w:type="dxa"/>
          </w:tcPr>
          <w:p w14:paraId="6DD84B21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RET</w:t>
            </w:r>
          </w:p>
        </w:tc>
        <w:tc>
          <w:tcPr>
            <w:tcW w:w="2880" w:type="dxa"/>
          </w:tcPr>
          <w:p w14:paraId="1DC716E5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Daily log return of close.</w:t>
            </w:r>
          </w:p>
        </w:tc>
        <w:tc>
          <w:tcPr>
            <w:tcW w:w="2880" w:type="dxa"/>
          </w:tcPr>
          <w:p w14:paraId="79C603DD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One-session proportional price movement.</w:t>
            </w:r>
          </w:p>
        </w:tc>
      </w:tr>
      <w:tr w:rsidR="00460B61" w:rsidRPr="00460B61" w14:paraId="4BD8D039" w14:textId="77777777" w:rsidTr="00A56186">
        <w:tc>
          <w:tcPr>
            <w:tcW w:w="2880" w:type="dxa"/>
          </w:tcPr>
          <w:p w14:paraId="5B408289" w14:textId="514D8490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PCHG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54DCA3ED" w14:textId="6B68369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Close percentage change over the window.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2F8992FD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Price momentum over the specified lookback.</w:t>
            </w:r>
          </w:p>
        </w:tc>
      </w:tr>
      <w:tr w:rsidR="00460B61" w:rsidRPr="00460B61" w14:paraId="39D84BB3" w14:textId="77777777" w:rsidTr="00A56186">
        <w:tc>
          <w:tcPr>
            <w:tcW w:w="2880" w:type="dxa"/>
          </w:tcPr>
          <w:p w14:paraId="57B8EC27" w14:textId="222D41D4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VCHG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6C487F03" w14:textId="4AA06D5C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Volume percentage change over the window.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343D970B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Change in trading activity over the specified lookback.</w:t>
            </w:r>
          </w:p>
        </w:tc>
      </w:tr>
      <w:tr w:rsidR="00460B61" w:rsidRPr="00460B61" w14:paraId="0158A107" w14:textId="77777777" w:rsidTr="00A56186">
        <w:tc>
          <w:tcPr>
            <w:tcW w:w="2880" w:type="dxa"/>
          </w:tcPr>
          <w:p w14:paraId="39DCEF8A" w14:textId="55D803B0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RET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6BDE4EFB" w14:textId="41621F29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Rolling sum of daily log returns over the window.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4A88E8D2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Cumulative log price movement over the lookback.</w:t>
            </w:r>
          </w:p>
        </w:tc>
      </w:tr>
      <w:tr w:rsidR="00460B61" w:rsidRPr="00460B61" w14:paraId="2FD29CCD" w14:textId="77777777" w:rsidTr="00A56186">
        <w:tc>
          <w:tcPr>
            <w:tcW w:w="2880" w:type="dxa"/>
          </w:tcPr>
          <w:p w14:paraId="402629C3" w14:textId="6B833380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OC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131CFBBB" w14:textId="2BEFAC9D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Rolling mean of open-to-close differences.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59F1E45D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Average intraday directional movement over the lookback.</w:t>
            </w:r>
          </w:p>
        </w:tc>
      </w:tr>
      <w:tr w:rsidR="00460B61" w:rsidRPr="00460B61" w14:paraId="23C91D44" w14:textId="77777777" w:rsidTr="00A56186">
        <w:tc>
          <w:tcPr>
            <w:tcW w:w="2880" w:type="dxa"/>
          </w:tcPr>
          <w:p w14:paraId="3DD63638" w14:textId="107BEA62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HC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5DEAE2B3" w14:textId="23310AA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Rolling mean of high-to-low differences.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1707DD7F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Average intraday price range over the lookback.</w:t>
            </w:r>
          </w:p>
        </w:tc>
      </w:tr>
      <w:tr w:rsidR="00460B61" w:rsidRPr="00460B61" w14:paraId="5726C603" w14:textId="77777777" w:rsidTr="00A56186">
        <w:tc>
          <w:tcPr>
            <w:tcW w:w="2880" w:type="dxa"/>
          </w:tcPr>
          <w:p w14:paraId="75748228" w14:textId="0B287AC1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GAP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11B22B2D" w14:textId="5F3432DE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Rolling mean of percentage gaps.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7B2F0D86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Average overnight repricing over the lookback.</w:t>
            </w:r>
          </w:p>
        </w:tc>
      </w:tr>
      <w:tr w:rsidR="00460B61" w:rsidRPr="00460B61" w14:paraId="0FB89CDF" w14:textId="77777777" w:rsidTr="00A56186">
        <w:tc>
          <w:tcPr>
            <w:tcW w:w="2880" w:type="dxa"/>
          </w:tcPr>
          <w:p w14:paraId="05875682" w14:textId="543FA24C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STD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340E5E8B" w14:textId="6D2AD332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Rolling standard deviation of daily log returns.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264DBF82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Realized return volatility over the lookback.</w:t>
            </w:r>
          </w:p>
        </w:tc>
      </w:tr>
      <w:tr w:rsidR="00460B61" w:rsidRPr="00460B61" w14:paraId="04C008A3" w14:textId="77777777" w:rsidTr="00A56186">
        <w:tc>
          <w:tcPr>
            <w:tcW w:w="2880" w:type="dxa"/>
          </w:tcPr>
          <w:p w14:paraId="3866C4CB" w14:textId="0EA0B961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BB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599878E9" w14:textId="3CC1633E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Close position: (close - lower band) / (upper band - lower band); bands use two standard deviations.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49636254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Relative price position within the Bollinger envelope; values can fall outside 0 to 1.</w:t>
            </w:r>
          </w:p>
        </w:tc>
      </w:tr>
      <w:tr w:rsidR="00460B61" w:rsidRPr="00460B61" w14:paraId="2DB40695" w14:textId="77777777" w:rsidTr="00A56186">
        <w:tc>
          <w:tcPr>
            <w:tcW w:w="2880" w:type="dxa"/>
          </w:tcPr>
          <w:p w14:paraId="5617F9B4" w14:textId="2A1492A8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RSI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70D359D6" w14:textId="110FC01C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Relative Strength Index calculated over the window.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772A52B6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Momentum oscillator on a 0 to 100 scale.</w:t>
            </w:r>
          </w:p>
        </w:tc>
      </w:tr>
      <w:tr w:rsidR="00460B61" w:rsidRPr="00460B61" w14:paraId="6BC591F3" w14:textId="77777777" w:rsidTr="00A56186">
        <w:tc>
          <w:tcPr>
            <w:tcW w:w="2880" w:type="dxa"/>
          </w:tcPr>
          <w:p w14:paraId="6E6D3C58" w14:textId="4055406A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STOCH</w:t>
            </w:r>
            <w:r w:rsidR="00B02AEF" w:rsidRPr="00B02AEF">
              <w:rPr>
                <w:sz w:val="16"/>
                <w:szCs w:val="16"/>
              </w:rPr>
              <w:t>X</w:t>
            </w:r>
          </w:p>
        </w:tc>
        <w:tc>
          <w:tcPr>
            <w:tcW w:w="2880" w:type="dxa"/>
          </w:tcPr>
          <w:p w14:paraId="6FB10157" w14:textId="385083E2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 xml:space="preserve">Stochastic oscillator over the window with smooth_window=1. Window = </w:t>
            </w:r>
            <w:r w:rsidR="00B02AEF" w:rsidRPr="00B02AEF">
              <w:rPr>
                <w:sz w:val="16"/>
                <w:szCs w:val="16"/>
              </w:rPr>
              <w:t>X</w:t>
            </w:r>
            <w:r w:rsidRPr="00B02AEF">
              <w:rPr>
                <w:sz w:val="16"/>
                <w:szCs w:val="16"/>
              </w:rPr>
              <w:t>.</w:t>
            </w:r>
          </w:p>
        </w:tc>
        <w:tc>
          <w:tcPr>
            <w:tcW w:w="2880" w:type="dxa"/>
          </w:tcPr>
          <w:p w14:paraId="748D4CBB" w14:textId="77777777" w:rsidR="00460B61" w:rsidRPr="00B02AEF" w:rsidRDefault="00460B61" w:rsidP="00A56186">
            <w:pPr>
              <w:rPr>
                <w:sz w:val="16"/>
                <w:szCs w:val="16"/>
              </w:rPr>
            </w:pPr>
            <w:r w:rsidRPr="00B02AEF">
              <w:rPr>
                <w:sz w:val="16"/>
                <w:szCs w:val="16"/>
              </w:rPr>
              <w:t>Close location within the recent high-low range, on a 0 to 100 scale.</w:t>
            </w:r>
          </w:p>
        </w:tc>
      </w:tr>
    </w:tbl>
    <w:p w14:paraId="0FA77755" w14:textId="518C63C3" w:rsidR="004216D1" w:rsidRDefault="004216D1" w:rsidP="00056F1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72F31556" w14:textId="72867AA0" w:rsidR="004216D1" w:rsidRDefault="004216D1" w:rsidP="00056F15">
      <w:pPr>
        <w:rPr>
          <w:rFonts w:cstheme="minorHAnsi"/>
          <w:lang w:val="en-US"/>
        </w:rPr>
      </w:pPr>
    </w:p>
    <w:p w14:paraId="2C1B4C07" w14:textId="2E4084C8" w:rsidR="004216D1" w:rsidRDefault="004216D1" w:rsidP="00056F15">
      <w:pPr>
        <w:rPr>
          <w:rFonts w:cstheme="minorHAnsi"/>
          <w:lang w:val="en-US"/>
        </w:rPr>
      </w:pPr>
    </w:p>
    <w:p w14:paraId="7C32B722" w14:textId="40A88252" w:rsidR="004216D1" w:rsidRDefault="004216D1" w:rsidP="00056F15">
      <w:pPr>
        <w:rPr>
          <w:rFonts w:cstheme="minorHAnsi"/>
          <w:lang w:val="en-US"/>
        </w:rPr>
      </w:pPr>
    </w:p>
    <w:p w14:paraId="1B9C5E15" w14:textId="58D1FA62" w:rsidR="004216D1" w:rsidRDefault="004216D1" w:rsidP="00056F15">
      <w:pPr>
        <w:rPr>
          <w:rFonts w:cstheme="minorHAnsi"/>
          <w:lang w:val="en-US"/>
        </w:rPr>
      </w:pPr>
    </w:p>
    <w:p w14:paraId="0A7F68A2" w14:textId="54DDB8F6" w:rsidR="004216D1" w:rsidRDefault="004216D1" w:rsidP="00056F15">
      <w:pPr>
        <w:rPr>
          <w:rFonts w:cstheme="minorHAnsi"/>
          <w:lang w:val="en-US"/>
        </w:rPr>
      </w:pPr>
    </w:p>
    <w:p w14:paraId="590D925A" w14:textId="78B4707E" w:rsidR="004216D1" w:rsidRDefault="004216D1" w:rsidP="00056F15">
      <w:pPr>
        <w:rPr>
          <w:rFonts w:cstheme="minorHAnsi"/>
          <w:lang w:val="en-US"/>
        </w:rPr>
      </w:pPr>
    </w:p>
    <w:p w14:paraId="3D4C7DE5" w14:textId="77777777" w:rsidR="004216D1" w:rsidRPr="00AF5177" w:rsidRDefault="004216D1" w:rsidP="00056F15">
      <w:pPr>
        <w:rPr>
          <w:rFonts w:cstheme="minorHAnsi"/>
          <w:lang w:val="en-US"/>
        </w:rPr>
      </w:pPr>
    </w:p>
    <w:sectPr w:rsidR="004216D1" w:rsidRPr="00AF5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F6655"/>
    <w:multiLevelType w:val="hybridMultilevel"/>
    <w:tmpl w:val="69DA6600"/>
    <w:lvl w:ilvl="0" w:tplc="473C38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00D32"/>
    <w:multiLevelType w:val="hybridMultilevel"/>
    <w:tmpl w:val="98BCFE56"/>
    <w:lvl w:ilvl="0" w:tplc="F5EE6E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F416C"/>
    <w:multiLevelType w:val="hybridMultilevel"/>
    <w:tmpl w:val="E7C40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15"/>
    <w:rsid w:val="00056F15"/>
    <w:rsid w:val="0010429F"/>
    <w:rsid w:val="00271601"/>
    <w:rsid w:val="002E5E50"/>
    <w:rsid w:val="00382676"/>
    <w:rsid w:val="00393E64"/>
    <w:rsid w:val="004216D1"/>
    <w:rsid w:val="0044177A"/>
    <w:rsid w:val="00460B61"/>
    <w:rsid w:val="005D55A7"/>
    <w:rsid w:val="006167F8"/>
    <w:rsid w:val="006B5C90"/>
    <w:rsid w:val="00826E0B"/>
    <w:rsid w:val="00901995"/>
    <w:rsid w:val="00A172A1"/>
    <w:rsid w:val="00AF5177"/>
    <w:rsid w:val="00B02AEF"/>
    <w:rsid w:val="00B61785"/>
    <w:rsid w:val="00CC5E11"/>
    <w:rsid w:val="00DA7C68"/>
    <w:rsid w:val="00DD33FC"/>
    <w:rsid w:val="00F10FB4"/>
    <w:rsid w:val="00F8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83926"/>
  <w15:chartTrackingRefBased/>
  <w15:docId w15:val="{31680760-4054-4D0E-83A1-C96E1E0E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6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F1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267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60B6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460B6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5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Filatov</dc:creator>
  <cp:keywords/>
  <dc:description/>
  <cp:lastModifiedBy>Dmitrii Filatov</cp:lastModifiedBy>
  <cp:revision>6</cp:revision>
  <dcterms:created xsi:type="dcterms:W3CDTF">2026-10-11T10:05:00Z</dcterms:created>
  <dcterms:modified xsi:type="dcterms:W3CDTF">2026-10-11T13:23:00Z</dcterms:modified>
</cp:coreProperties>
</file>