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8618">
      <w:pPr>
        <w:spacing w:after="60"/>
      </w:pPr>
      <w:r>
        <w:rPr>
          <w:color w:val="888888"/>
        </w:rPr>
        <w:t>Arhitektura i projektovanje softvera 2025/2026</w:t>
      </w:r>
    </w:p>
    <w:p w14:paraId="5813D149">
      <w:pPr>
        <w:spacing w:after="400"/>
        <w:rPr>
          <w:color w:val="888888"/>
        </w:rPr>
      </w:pPr>
      <w:r>
        <w:rPr>
          <w:color w:val="888888"/>
        </w:rPr>
        <w:t>Petar Nikolić 19289</w:t>
      </w:r>
      <w:r>
        <w:rPr>
          <w:color w:val="888888"/>
        </w:rPr>
        <w:br w:type="textWrapping"/>
      </w:r>
      <w:r>
        <w:rPr>
          <w:color w:val="888888"/>
        </w:rPr>
        <w:t>Luka Dimić 19099</w:t>
      </w:r>
    </w:p>
    <w:p w14:paraId="6489BF56">
      <w:pPr>
        <w:spacing w:after="400"/>
        <w:rPr>
          <w:color w:val="888888"/>
        </w:rPr>
      </w:pPr>
    </w:p>
    <w:p w14:paraId="1ED31341">
      <w:pPr>
        <w:spacing w:after="400"/>
        <w:rPr>
          <w:color w:val="888888"/>
        </w:rPr>
      </w:pPr>
    </w:p>
    <w:p w14:paraId="05254DC5">
      <w:pPr>
        <w:spacing w:after="400"/>
        <w:rPr>
          <w:color w:val="888888"/>
        </w:rPr>
      </w:pPr>
    </w:p>
    <w:p w14:paraId="314B8BF8">
      <w:pPr>
        <w:spacing w:after="400"/>
        <w:rPr>
          <w:color w:val="888888"/>
        </w:rPr>
      </w:pPr>
    </w:p>
    <w:p w14:paraId="64462E00">
      <w:pPr>
        <w:spacing w:after="400"/>
      </w:pPr>
    </w:p>
    <w:p w14:paraId="18AE6ED6">
      <w:pPr>
        <w:spacing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22095277">
      <w:pPr>
        <w:spacing w:after="400"/>
        <w:jc w:val="center"/>
      </w:pPr>
      <w:r>
        <w:rPr>
          <w:i/>
          <w:iCs/>
          <w:color w:val="2E75B6"/>
          <w:sz w:val="32"/>
          <w:szCs w:val="32"/>
        </w:rPr>
        <w:t>Platforma za upravljanje projektima</w:t>
      </w:r>
    </w:p>
    <w:p w14:paraId="23A01020">
      <w:pPr>
        <w:spacing w:after="60"/>
        <w:jc w:val="center"/>
      </w:pPr>
      <w:r>
        <w:rPr>
          <w:b/>
          <w:bCs/>
          <w:color w:val="444444"/>
          <w:sz w:val="28"/>
          <w:szCs w:val="28"/>
        </w:rPr>
        <w:t>Faza 1 – Arhitektura i projektovanje softvera</w:t>
      </w:r>
    </w:p>
    <w:p w14:paraId="3B1F8757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Arhitekturni dokument</w:t>
      </w:r>
    </w:p>
    <w:p w14:paraId="69F3B916">
      <w:pPr>
        <w:jc w:val="center"/>
      </w:pPr>
      <w:r>
        <w:rPr>
          <w:color w:val="888888"/>
        </w:rPr>
        <w:t>Jun 2026.</w:t>
      </w:r>
    </w:p>
    <w:p w14:paraId="7B43A191">
      <w:pPr>
        <w:jc w:val="center"/>
      </w:pPr>
    </w:p>
    <w:p w14:paraId="66B31260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27760" cy="1127760"/>
            <wp:effectExtent l="0" t="0" r="0" b="0"/>
            <wp:wrapSquare wrapText="bothSides"/>
            <wp:docPr id="3" name="Picture 3" descr="A black background with a black squar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a black square  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19AA6">
      <w:pPr>
        <w:jc w:val="center"/>
      </w:pPr>
    </w:p>
    <w:p w14:paraId="6B57E59F">
      <w:pPr>
        <w:jc w:val="center"/>
      </w:pPr>
    </w:p>
    <w:p w14:paraId="2A629160">
      <w:pPr>
        <w:jc w:val="center"/>
      </w:pPr>
    </w:p>
    <w:p w14:paraId="7BA0C0E8">
      <w:pPr>
        <w:jc w:val="center"/>
      </w:pPr>
    </w:p>
    <w:p w14:paraId="228FFC67">
      <w:pPr>
        <w:jc w:val="center"/>
      </w:pPr>
    </w:p>
    <w:p w14:paraId="39F977FA">
      <w:pPr>
        <w:jc w:val="center"/>
      </w:pPr>
    </w:p>
    <w:p w14:paraId="6688DA1C">
      <w:pPr>
        <w:jc w:val="center"/>
      </w:pPr>
    </w:p>
    <w:p w14:paraId="0E7931BC">
      <w:pPr>
        <w:jc w:val="center"/>
      </w:pPr>
    </w:p>
    <w:p w14:paraId="2EAB9DF4">
      <w:pPr>
        <w:jc w:val="center"/>
      </w:pPr>
    </w:p>
    <w:p w14:paraId="26E2F56F">
      <w:pPr>
        <w:jc w:val="center"/>
      </w:pPr>
    </w:p>
    <w:p w14:paraId="35CF08BB">
      <w:pPr>
        <w:jc w:val="center"/>
      </w:pPr>
    </w:p>
    <w:p w14:paraId="209EED44">
      <w:pPr>
        <w:jc w:val="center"/>
      </w:pPr>
    </w:p>
    <w:p w14:paraId="46BFDD65">
      <w:pPr>
        <w:jc w:val="center"/>
      </w:pPr>
    </w:p>
    <w:p w14:paraId="505C3DF6">
      <w:pPr>
        <w:jc w:val="center"/>
      </w:pPr>
    </w:p>
    <w:p w14:paraId="51411F1F">
      <w:pPr>
        <w:jc w:val="center"/>
      </w:pPr>
    </w:p>
    <w:p w14:paraId="013C823C">
      <w:pPr>
        <w:jc w:val="center"/>
      </w:pPr>
    </w:p>
    <w:p w14:paraId="18311FCA">
      <w:pPr>
        <w:jc w:val="center"/>
      </w:pPr>
    </w:p>
    <w:p w14:paraId="1D4B6854">
      <w:pPr>
        <w:jc w:val="center"/>
      </w:pPr>
    </w:p>
    <w:p w14:paraId="2FD12714">
      <w:pPr>
        <w:jc w:val="center"/>
      </w:pPr>
    </w:p>
    <w:p w14:paraId="3A8F10D1">
      <w:pPr>
        <w:jc w:val="center"/>
      </w:pPr>
    </w:p>
    <w:p w14:paraId="5098C72B">
      <w:pPr>
        <w:pStyle w:val="18"/>
        <w:bidi w:val="0"/>
      </w:pPr>
    </w:p>
    <w:p w14:paraId="487B8CCD">
      <w:pPr>
        <w:pStyle w:val="18"/>
        <w:bidi w:val="0"/>
        <w:rPr>
          <w:sz w:val="24"/>
          <w:szCs w:val="24"/>
          <w:lang w:val="sr-Latn-RS"/>
        </w:rPr>
      </w:pPr>
      <w:r>
        <w:rPr>
          <w:sz w:val="24"/>
          <w:szCs w:val="24"/>
        </w:rPr>
        <w:t>Sadržaj:</w:t>
      </w:r>
    </w:p>
    <w:sdt>
      <w:sdtPr>
        <w:alias w:val="Sadržaj"/>
        <w:id w:val="942336293"/>
      </w:sdtPr>
      <w:sdtContent>
        <w:p w14:paraId="7A57DE6D">
          <w:pPr>
            <w:pStyle w:val="19"/>
            <w:tabs>
              <w:tab w:val="right" w:leader="dot" w:pos="9016"/>
            </w:tabs>
            <w:rPr>
              <w:rFonts w:ascii="Arial" w:hAnsi="Arial" w:eastAsia="Arial" w:cs="Arial"/>
              <w:color w:val="222222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1596FCE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_Toc3155 </w:instrText>
          </w:r>
          <w:r>
            <w:fldChar w:fldCharType="separate"/>
          </w:r>
          <w:r>
            <w:t>1. Kontekst i cilj softverskog projekta</w:t>
          </w:r>
          <w:r>
            <w:tab/>
          </w:r>
          <w:r>
            <w:fldChar w:fldCharType="begin"/>
          </w:r>
          <w:r>
            <w:instrText xml:space="preserve"> PAGEREF _Toc3155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FFC46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_Toc24203 </w:instrText>
          </w:r>
          <w:r>
            <w:fldChar w:fldCharType="separate"/>
          </w:r>
          <w:r>
            <w:t>1.1. Kontekst softverskog projekta</w:t>
          </w:r>
          <w:r>
            <w:tab/>
          </w:r>
          <w:r>
            <w:fldChar w:fldCharType="begin"/>
          </w:r>
          <w:r>
            <w:instrText xml:space="preserve"> PAGEREF _Toc24203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1CE39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_Toc13531 </w:instrText>
          </w:r>
          <w:r>
            <w:fldChar w:fldCharType="separate"/>
          </w:r>
          <w:r>
            <w:t>1.2. Opis problema koji projekat rešava</w:t>
          </w:r>
          <w:r>
            <w:tab/>
          </w:r>
          <w:r>
            <w:fldChar w:fldCharType="begin"/>
          </w:r>
          <w:r>
            <w:instrText xml:space="preserve"> PAGEREF _Toc13531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073B15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_Toc17714 </w:instrText>
          </w:r>
          <w:r>
            <w:fldChar w:fldCharType="separate"/>
          </w:r>
          <w:r>
            <w:t>1.3. Cilj softverskog projekta</w:t>
          </w:r>
          <w:r>
            <w:tab/>
          </w:r>
          <w:r>
            <w:fldChar w:fldCharType="begin"/>
          </w:r>
          <w:r>
            <w:instrText xml:space="preserve"> PAGEREF _Toc17714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65175C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_Toc11212 </w:instrText>
          </w:r>
          <w:r>
            <w:fldChar w:fldCharType="separate"/>
          </w:r>
          <w:r>
            <w:t>1.4. Akademski cilj projekta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3B746D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_Toc31953 </w:instrText>
          </w:r>
          <w:r>
            <w:fldChar w:fldCharType="separate"/>
          </w:r>
          <w:r>
            <w:t>2. Arhitekturni zahtevi</w:t>
          </w:r>
          <w:r>
            <w:tab/>
          </w:r>
          <w:r>
            <w:fldChar w:fldCharType="begin"/>
          </w:r>
          <w:r>
            <w:instrText xml:space="preserve"> PAGEREF _Toc31953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A0ACB6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_Toc22586 </w:instrText>
          </w:r>
          <w:r>
            <w:fldChar w:fldCharType="separate"/>
          </w:r>
          <w:r>
            <w:t>2.1. Glavni funkcionalni zahtevi</w:t>
          </w:r>
          <w:r>
            <w:tab/>
          </w:r>
          <w:r>
            <w:fldChar w:fldCharType="begin"/>
          </w:r>
          <w:r>
            <w:instrText xml:space="preserve"> PAGEREF _Toc22586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C8FBA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_Toc966 </w:instrText>
          </w:r>
          <w:r>
            <w:fldChar w:fldCharType="separate"/>
          </w:r>
          <w:r>
            <w:t>2.2. Nefunkcionalni zahtevi (atributi kvaliteta)</w:t>
          </w:r>
          <w:r>
            <w:tab/>
          </w:r>
          <w:r>
            <w:fldChar w:fldCharType="begin"/>
          </w:r>
          <w:r>
            <w:instrText xml:space="preserve"> PAGEREF _Toc966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C28B3D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_Toc3134 </w:instrText>
          </w:r>
          <w:r>
            <w:fldChar w:fldCharType="separate"/>
          </w:r>
          <w:r>
            <w:t>Pouzdanost</w:t>
          </w:r>
          <w:r>
            <w:tab/>
          </w:r>
          <w:r>
            <w:fldChar w:fldCharType="begin"/>
          </w:r>
          <w:r>
            <w:instrText xml:space="preserve"> PAGEREF _Toc3134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C4EFF2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_Toc17456 </w:instrText>
          </w:r>
          <w:r>
            <w:fldChar w:fldCharType="separate"/>
          </w:r>
          <w:r>
            <w:t>Performanse</w:t>
          </w:r>
          <w:r>
            <w:tab/>
          </w:r>
          <w:r>
            <w:fldChar w:fldCharType="begin"/>
          </w:r>
          <w:r>
            <w:instrText xml:space="preserve"> PAGEREF _Toc17456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BB3124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_Toc4158 </w:instrText>
          </w:r>
          <w:r>
            <w:fldChar w:fldCharType="separate"/>
          </w:r>
          <w:r>
            <w:t>Dostupnost</w:t>
          </w:r>
          <w:r>
            <w:tab/>
          </w:r>
          <w:r>
            <w:fldChar w:fldCharType="begin"/>
          </w:r>
          <w:r>
            <w:instrText xml:space="preserve"> PAGEREF _Toc4158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2562D8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_Toc22680 </w:instrText>
          </w:r>
          <w:r>
            <w:fldChar w:fldCharType="separate"/>
          </w:r>
          <w:r>
            <w:t>Skalabilnost</w:t>
          </w:r>
          <w:r>
            <w:tab/>
          </w:r>
          <w:r>
            <w:fldChar w:fldCharType="begin"/>
          </w:r>
          <w:r>
            <w:instrText xml:space="preserve"> PAGEREF _Toc22680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DB9050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_Toc8560 </w:instrText>
          </w:r>
          <w:r>
            <w:fldChar w:fldCharType="separate"/>
          </w:r>
          <w:r>
            <w:t>Modifikabilnost</w:t>
          </w:r>
          <w:r>
            <w:tab/>
          </w:r>
          <w:r>
            <w:fldChar w:fldCharType="begin"/>
          </w:r>
          <w:r>
            <w:instrText xml:space="preserve"> PAGEREF _Toc8560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DE0F9E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_Toc10979 </w:instrText>
          </w:r>
          <w:r>
            <w:fldChar w:fldCharType="separate"/>
          </w:r>
          <w:r>
            <w:t>Sigurnost</w:t>
          </w:r>
          <w:r>
            <w:tab/>
          </w:r>
          <w:r>
            <w:fldChar w:fldCharType="begin"/>
          </w:r>
          <w:r>
            <w:instrText xml:space="preserve"> PAGEREF _Toc10979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FEE986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_Toc17799 </w:instrText>
          </w:r>
          <w:r>
            <w:fldChar w:fldCharType="separate"/>
          </w:r>
          <w:r>
            <w:t>2.3. Tehnička ograničenja</w:t>
          </w:r>
          <w:r>
            <w:tab/>
          </w:r>
          <w:r>
            <w:fldChar w:fldCharType="begin"/>
          </w:r>
          <w:r>
            <w:instrText xml:space="preserve"> PAGEREF _Toc17799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EA272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_Toc26582 </w:instrText>
          </w:r>
          <w:r>
            <w:fldChar w:fldCharType="separate"/>
          </w:r>
          <w:r>
            <w:t>2.4. Poslovna ograničenja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A29722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_Toc9381 </w:instrText>
          </w:r>
          <w:r>
            <w:fldChar w:fldCharType="separate"/>
          </w:r>
          <w:r>
            <w:t>3. Arhitekturni dizajn</w:t>
          </w:r>
          <w:r>
            <w:tab/>
          </w:r>
          <w:r>
            <w:fldChar w:fldCharType="begin"/>
          </w:r>
          <w:r>
            <w:instrText xml:space="preserve"> PAGEREF _Toc9381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48DE44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_Toc21426 </w:instrText>
          </w:r>
          <w:r>
            <w:fldChar w:fldCharType="separate"/>
          </w:r>
          <w:r>
            <w:t>3.1. Arhitekturni obrasci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043AFA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_Toc25611 </w:instrText>
          </w:r>
          <w:r>
            <w:fldChar w:fldCharType="separate"/>
          </w:r>
          <w:r>
            <w:t>3.1.1. Client–Server obrazac</w:t>
          </w:r>
          <w:r>
            <w:tab/>
          </w:r>
          <w:r>
            <w:fldChar w:fldCharType="begin"/>
          </w:r>
          <w:r>
            <w:instrText xml:space="preserve"> PAGEREF _Toc25611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243412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_Toc12465 </w:instrText>
          </w:r>
          <w:r>
            <w:fldChar w:fldCharType="separate"/>
          </w:r>
          <w:r>
            <w:t>3.1.2. Slojevita arhitektura (Clean Architecture)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216ED0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_Toc3871 </w:instrText>
          </w:r>
          <w:r>
            <w:fldChar w:fldCharType="separate"/>
          </w:r>
          <w:r>
            <w:t>3.1.3. Repository obrazac</w:t>
          </w:r>
          <w:r>
            <w:tab/>
          </w:r>
          <w:r>
            <w:fldChar w:fldCharType="begin"/>
          </w:r>
          <w:r>
            <w:instrText xml:space="preserve"> PAGEREF _Toc3871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16AF5B7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_Toc11881 </w:instrText>
          </w:r>
          <w:r>
            <w:fldChar w:fldCharType="separate"/>
          </w:r>
          <w:r>
            <w:t>3.1.4. Unit of Work obrazac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1EC5E5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_Toc18873 </w:instrText>
          </w:r>
          <w:r>
            <w:fldChar w:fldCharType="separate"/>
          </w:r>
          <w:r>
            <w:t>3.1.5. Publish–Subscribe obrazac i domenski događaji</w:t>
          </w:r>
          <w:r>
            <w:tab/>
          </w:r>
          <w:r>
            <w:fldChar w:fldCharType="begin"/>
          </w:r>
          <w:r>
            <w:instrText xml:space="preserve"> PAGEREF _Toc18873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EF938B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_Toc20843 </w:instrText>
          </w:r>
          <w:r>
            <w:fldChar w:fldCharType="separate"/>
          </w:r>
          <w:r>
            <w:t>3.1.6. State obrazac</w:t>
          </w:r>
          <w:r>
            <w:tab/>
          </w:r>
          <w:r>
            <w:fldChar w:fldCharType="begin"/>
          </w:r>
          <w:r>
            <w:instrText xml:space="preserve"> PAGEREF _Toc20843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8958EC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_Toc7650 </w:instrText>
          </w:r>
          <w:r>
            <w:fldChar w:fldCharType="separate"/>
          </w:r>
          <w:r>
            <w:t>3.1.7. Observer obrazac</w:t>
          </w:r>
          <w:r>
            <w:tab/>
          </w:r>
          <w:r>
            <w:fldChar w:fldCharType="begin"/>
          </w:r>
          <w:r>
            <w:instrText xml:space="preserve"> PAGEREF _Toc7650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38AD27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_Toc31882 </w:instrText>
          </w:r>
          <w:r>
            <w:fldChar w:fldCharType="separate"/>
          </w:r>
          <w:r>
            <w:t>3.1.8. Command obrazac</w:t>
          </w:r>
          <w:r>
            <w:tab/>
          </w:r>
          <w:r>
            <w:fldChar w:fldCharType="begin"/>
          </w:r>
          <w:r>
            <w:instrText xml:space="preserve"> PAGEREF _Toc31882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E8F0781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_Toc2141 </w:instrText>
          </w:r>
          <w:r>
            <w:fldChar w:fldCharType="separate"/>
          </w:r>
          <w:r>
            <w:t>3.1.9. Factory obrazac</w:t>
          </w:r>
          <w:r>
            <w:tab/>
          </w:r>
          <w:r>
            <w:fldChar w:fldCharType="begin"/>
          </w:r>
          <w:r>
            <w:instrText xml:space="preserve"> PAGEREF _Toc2141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A9594E3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_Toc20913 </w:instrText>
          </w:r>
          <w:r>
            <w:fldChar w:fldCharType="separate"/>
          </w:r>
          <w:r>
            <w:t>3.1.10. Pesimističko zaključavanje</w:t>
          </w:r>
          <w:r>
            <w:tab/>
          </w:r>
          <w:r>
            <w:fldChar w:fldCharType="begin"/>
          </w:r>
          <w:r>
            <w:instrText xml:space="preserve"> PAGEREF _Toc20913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C93A7D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_Toc17082 </w:instrText>
          </w:r>
          <w:r>
            <w:fldChar w:fldCharType="separate"/>
          </w:r>
          <w:r>
            <w:t>3.2. Generalna arhitektura sistema</w:t>
          </w:r>
          <w:r>
            <w:tab/>
          </w:r>
          <w:r>
            <w:fldChar w:fldCharType="begin"/>
          </w:r>
          <w:r>
            <w:instrText xml:space="preserve"> PAGEREF _Toc17082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A73A80A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_Toc3647 </w:instrText>
          </w:r>
          <w:r>
            <w:fldChar w:fldCharType="separate"/>
          </w:r>
          <w:r>
            <w:t>3.3. Strukturni pogledi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69B4FF5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_Toc32452 </w:instrText>
          </w:r>
          <w:r>
            <w:fldChar w:fldCharType="separate"/>
          </w:r>
          <w:r>
            <w:t>3.4. Bihejvioralni pogledi</w:t>
          </w:r>
          <w:r>
            <w:tab/>
          </w:r>
          <w:r>
            <w:fldChar w:fldCharType="begin"/>
          </w:r>
          <w:r>
            <w:instrText xml:space="preserve"> PAGEREF _Toc32452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378B41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_Toc26412 </w:instrText>
          </w:r>
          <w:r>
            <w:fldChar w:fldCharType="separate"/>
          </w:r>
          <w:r>
            <w:t>3.4.1. Zaključavanje ploče i real-time obaveštavanje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D25F09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_Toc9855 </w:instrText>
          </w:r>
          <w:r>
            <w:fldChar w:fldCharType="separate"/>
          </w:r>
          <w:r>
            <w:t>3.4.2. Promena statusa zadatka uz State obrazac</w:t>
          </w:r>
          <w:r>
            <w:tab/>
          </w:r>
          <w:r>
            <w:fldChar w:fldCharType="begin"/>
          </w:r>
          <w:r>
            <w:instrText xml:space="preserve"> PAGEREF _Toc9855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51A7074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_Toc19346 </w:instrText>
          </w:r>
          <w:r>
            <w:fldChar w:fldCharType="separate"/>
          </w:r>
          <w:r>
            <w:t>3.4.3. Slanje chat poruke i perzistencija</w:t>
          </w:r>
          <w:r>
            <w:tab/>
          </w:r>
          <w:r>
            <w:fldChar w:fldCharType="begin"/>
          </w:r>
          <w:r>
            <w:instrText xml:space="preserve"> PAGEREF _Toc19346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BF7FCDC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_Toc3360 </w:instrText>
          </w:r>
          <w:r>
            <w:fldChar w:fldCharType="separate"/>
          </w:r>
          <w:r>
            <w:t>4. Implementaciona pitanja</w:t>
          </w:r>
          <w:r>
            <w:tab/>
          </w:r>
          <w:r>
            <w:fldChar w:fldCharType="begin"/>
          </w:r>
          <w:r>
            <w:instrText xml:space="preserve"> PAGEREF _Toc3360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CC0A9D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_Toc26707 </w:instrText>
          </w:r>
          <w:r>
            <w:fldChar w:fldCharType="separate"/>
          </w:r>
          <w:r>
            <w:t>4.1. Serverska strana</w:t>
          </w:r>
          <w:r>
            <w:tab/>
          </w:r>
          <w:r>
            <w:fldChar w:fldCharType="begin"/>
          </w:r>
          <w:r>
            <w:instrText xml:space="preserve"> PAGEREF _Toc26707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AEB695E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_Toc8344 </w:instrText>
          </w:r>
          <w:r>
            <w:fldChar w:fldCharType="separate"/>
          </w:r>
          <w:r>
            <w:t>4.2. Klijentska strana</w:t>
          </w:r>
          <w:r>
            <w:tab/>
          </w:r>
          <w:r>
            <w:fldChar w:fldCharType="begin"/>
          </w:r>
          <w:r>
            <w:instrText xml:space="preserve"> PAGEREF _Toc8344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C5E80B3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_Toc24032 </w:instrText>
          </w:r>
          <w:r>
            <w:fldChar w:fldCharType="separate"/>
          </w:r>
          <w:r>
            <w:t>4.3. Obrasci koje primenjuju izabrani okviri</w:t>
          </w:r>
          <w:r>
            <w:tab/>
          </w:r>
          <w:r>
            <w:fldChar w:fldCharType="begin"/>
          </w:r>
          <w:r>
            <w:instrText xml:space="preserve"> PAGEREF _Toc24032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B2DEF05">
          <w:pPr>
            <w:tabs>
              <w:tab w:val="right" w:leader="dot" w:pos="9016"/>
            </w:tabs>
          </w:pPr>
          <w:r>
            <w:fldChar w:fldCharType="end"/>
          </w:r>
        </w:p>
      </w:sdtContent>
    </w:sdt>
    <w:p w14:paraId="755361C2">
      <w:pPr>
        <w:pStyle w:val="2"/>
        <w:bidi w:val="0"/>
      </w:pPr>
      <w:bookmarkStart w:id="0" w:name="_Toc3155"/>
      <w:r>
        <w:t>1. Kontekst i cilj softverskog proj</w:t>
      </w:r>
      <w:bookmarkStart w:id="38" w:name="_GoBack"/>
      <w:bookmarkEnd w:id="38"/>
      <w:r>
        <w:t>ekta</w:t>
      </w:r>
      <w:bookmarkEnd w:id="0"/>
    </w:p>
    <w:p w14:paraId="41456653">
      <w:pPr>
        <w:pStyle w:val="3"/>
      </w:pPr>
      <w:bookmarkStart w:id="1" w:name="_Toc24203"/>
      <w:r>
        <w:t>1.1. Kontekst softverskog projekta</w:t>
      </w:r>
      <w:bookmarkEnd w:id="1"/>
    </w:p>
    <w:p w14:paraId="0F9C88CF">
      <w:pPr>
        <w:spacing w:before="40" w:after="100"/>
        <w:jc w:val="both"/>
      </w:pPr>
      <w:r>
        <w:t>Softverski projekat predstavlja projektovanje i implementaciju distribuirane web aplikacije namenjene timovima koji razvijaju softverske proizvode i upravljaju projektnim zadacima. Sistem omogućava digitalizaciju procesa organizacije rada, praćenja napretka i komunikacije u okviru projektnog tima kroz centralizovanu platformu.</w:t>
      </w:r>
    </w:p>
    <w:p w14:paraId="698C8457">
      <w:pPr>
        <w:spacing w:before="40" w:after="100"/>
        <w:jc w:val="both"/>
      </w:pPr>
      <w:r>
        <w:t>U savremenom okruženju agilnog razvoja softvera, timovi sve češće koriste digitalna rešenja za organizaciju posla i koordinaciju. Ovakvi sistemi treba da obezbede preglednost nad trenutnim stanjem zadataka, jasnu podelu odgovornosti, jednostavnu komunikaciju među članovima tima i praćenje istorije promena u realnom vremenu.</w:t>
      </w:r>
    </w:p>
    <w:p w14:paraId="14878B46">
      <w:pPr>
        <w:spacing w:before="40" w:after="100"/>
        <w:jc w:val="both"/>
      </w:pPr>
      <w:r>
        <w:t>Centralni poslovni koncept sistema predstavlja radni zadatak („Work Item“), koji objedinjuje sve relevantne informacije o jednom zadatku: naziv, opis, prioritet, status, dodeljeni korisnik, fajlovi, komentari i podzadaci. Ovaj objekat predstavlja osnovu nad kojom istovremeno mogu raditi različiti članovi tima, čime se direktno adresira problem konkurentnog pristupa podacima i saradnje u realnom vremenu.</w:t>
      </w:r>
    </w:p>
    <w:p w14:paraId="58A2678D">
      <w:pPr>
        <w:spacing w:before="40" w:after="100"/>
        <w:jc w:val="both"/>
      </w:pPr>
      <w:r>
        <w:t>Pored poslovnog aspekta, projekat je razvijan u okviru akademskog zadatka čiji je cilj demonstracija naprednih softverskih koncepata, uključujući primenu projektnih obrazaca u domenskoj logici, podršku za istovremeni rad više korisnika, implementaciju distribuiranih mehanizama zaključavanja i real-time komunikacije.</w:t>
      </w:r>
    </w:p>
    <w:p w14:paraId="2AC4F6D0">
      <w:pPr>
        <w:pStyle w:val="3"/>
      </w:pPr>
      <w:bookmarkStart w:id="2" w:name="_Toc13531"/>
      <w:r>
        <w:t>1.2. Opis problema koji projekat rešava</w:t>
      </w:r>
      <w:bookmarkEnd w:id="2"/>
    </w:p>
    <w:p w14:paraId="7A85B55E">
      <w:pPr>
        <w:spacing w:before="40" w:after="100"/>
        <w:jc w:val="both"/>
      </w:pPr>
      <w:r>
        <w:t>Osnovni problem koji projekat rešava jeste neefikasnost koordinacije i praćenja napretka u softverskim timovima koji rade bez centralizovanog alata za upravljanje projektima. Procesi su često fragmentisani – zadaci se prate u tabelama, komunikacija u različitim kanalima, a stanje projekta nije uvek jasno svim članovima.</w:t>
      </w:r>
    </w:p>
    <w:p w14:paraId="4A8F915B">
      <w:pPr>
        <w:spacing w:before="40" w:after="100"/>
        <w:jc w:val="both"/>
      </w:pPr>
      <w:r>
        <w:t>Sa aspekta članova tima, problemi se ogledaju u:</w:t>
      </w:r>
    </w:p>
    <w:p w14:paraId="06CC8B50">
      <w:pPr>
        <w:pStyle w:val="23"/>
        <w:numPr>
          <w:ilvl w:val="0"/>
          <w:numId w:val="1"/>
        </w:numPr>
        <w:spacing w:before="40" w:after="60"/>
      </w:pPr>
      <w:r>
        <w:t>poteškoćama pri praćenju aktuelnog stanja i napretka zadataka,</w:t>
      </w:r>
    </w:p>
    <w:p w14:paraId="27E3E81C">
      <w:pPr>
        <w:pStyle w:val="23"/>
        <w:numPr>
          <w:ilvl w:val="0"/>
          <w:numId w:val="1"/>
        </w:numPr>
        <w:spacing w:before="40" w:after="60"/>
      </w:pPr>
      <w:r>
        <w:t>nedostatku centralizovanog mesta za komunikaciju i anotacije uz zadatak,</w:t>
      </w:r>
    </w:p>
    <w:p w14:paraId="35CA3EC4">
      <w:pPr>
        <w:pStyle w:val="23"/>
        <w:numPr>
          <w:ilvl w:val="0"/>
          <w:numId w:val="1"/>
        </w:numPr>
        <w:spacing w:before="40" w:after="60"/>
      </w:pPr>
      <w:r>
        <w:t>otežanoj koordinaciji kada više članova uređuje isti zadatak ili ploču istovremeno,</w:t>
      </w:r>
    </w:p>
    <w:p w14:paraId="1597F346">
      <w:pPr>
        <w:pStyle w:val="23"/>
        <w:numPr>
          <w:ilvl w:val="0"/>
          <w:numId w:val="1"/>
        </w:numPr>
        <w:spacing w:before="40" w:after="60"/>
      </w:pPr>
      <w:r>
        <w:t>nedostatku istorije promena i revizionog traga događaja.</w:t>
      </w:r>
    </w:p>
    <w:p w14:paraId="2F635F01">
      <w:pPr>
        <w:spacing w:after="60"/>
      </w:pPr>
    </w:p>
    <w:p w14:paraId="5F095ED1">
      <w:pPr>
        <w:spacing w:before="40" w:after="100"/>
        <w:jc w:val="both"/>
      </w:pPr>
      <w:r>
        <w:t>Sa aspekta vođa projekata, problemi uključuju:</w:t>
      </w:r>
    </w:p>
    <w:p w14:paraId="789DAF61">
      <w:pPr>
        <w:pStyle w:val="23"/>
        <w:numPr>
          <w:ilvl w:val="0"/>
          <w:numId w:val="1"/>
        </w:numPr>
        <w:spacing w:before="40" w:after="60"/>
      </w:pPr>
      <w:r>
        <w:t>nepostojanje transparentnog pregleda stanja celog projekta,</w:t>
      </w:r>
    </w:p>
    <w:p w14:paraId="6616846E">
      <w:pPr>
        <w:pStyle w:val="23"/>
        <w:numPr>
          <w:ilvl w:val="0"/>
          <w:numId w:val="1"/>
        </w:numPr>
        <w:spacing w:before="40" w:after="60"/>
      </w:pPr>
      <w:r>
        <w:t>otežanu raspodelu i praćenje odgovornosti za svaki zadatak,</w:t>
      </w:r>
    </w:p>
    <w:p w14:paraId="02820866">
      <w:pPr>
        <w:pStyle w:val="23"/>
        <w:numPr>
          <w:ilvl w:val="0"/>
          <w:numId w:val="1"/>
        </w:numPr>
        <w:spacing w:before="40" w:after="60"/>
      </w:pPr>
      <w:r>
        <w:t>nemogućnost uvida u tok rešavanja problema u realnom vremenu.</w:t>
      </w:r>
    </w:p>
    <w:p w14:paraId="77CEB84B">
      <w:pPr>
        <w:spacing w:after="60"/>
      </w:pPr>
    </w:p>
    <w:p w14:paraId="3AF3D5DE">
      <w:pPr>
        <w:spacing w:before="40" w:after="100"/>
        <w:jc w:val="both"/>
      </w:pPr>
      <w:r>
        <w:t>Dodatni tehnički problem predstavlja potreba za podrškom istovremenog rada više korisnika nad istom pločom ili zadatkom, uz očuvanje konzistentnosti podataka kroz mehanizme pesimističkog zaključavanja i real-time sinhronizacije.</w:t>
      </w:r>
    </w:p>
    <w:p w14:paraId="226598F7">
      <w:pPr>
        <w:pStyle w:val="3"/>
      </w:pPr>
      <w:bookmarkStart w:id="3" w:name="_Toc17714"/>
      <w:r>
        <w:t>1.3. Cilj softverskog projekta</w:t>
      </w:r>
      <w:bookmarkEnd w:id="3"/>
    </w:p>
    <w:p w14:paraId="0BDACD50">
      <w:pPr>
        <w:spacing w:before="40" w:after="100"/>
        <w:jc w:val="both"/>
      </w:pPr>
      <w:r>
        <w:t>Primarni cilj ovog softverskog projekta jeste razvoj distribuirane web aplikacije koja omogućava timovima efikasno upravljanje projektima kroz centralizovanu platformu zasnovanu na radnim prostorima (Workspace), pločama (Board) i zadacima (Work Item).</w:t>
      </w:r>
    </w:p>
    <w:p w14:paraId="7AA1EFD4">
      <w:pPr>
        <w:spacing w:before="40" w:after="100"/>
        <w:jc w:val="both"/>
      </w:pPr>
      <w:r>
        <w:t>Sistem je projektovan tako da omogući:</w:t>
      </w:r>
    </w:p>
    <w:p w14:paraId="344721D8">
      <w:pPr>
        <w:pStyle w:val="23"/>
        <w:numPr>
          <w:ilvl w:val="0"/>
          <w:numId w:val="1"/>
        </w:numPr>
        <w:spacing w:before="40" w:after="60"/>
      </w:pPr>
      <w:r>
        <w:t>registraciju i autentikaciju korisnika sa JWT tokenima,</w:t>
      </w:r>
    </w:p>
    <w:p w14:paraId="2151D718">
      <w:pPr>
        <w:pStyle w:val="23"/>
        <w:numPr>
          <w:ilvl w:val="0"/>
          <w:numId w:val="1"/>
        </w:numPr>
        <w:spacing w:before="40" w:after="60"/>
      </w:pPr>
      <w:r>
        <w:t>kreiranje i upravljanje radnim prostorima i pozivanje članova tima sa različitim ulogama (Owner, Member, Guest),</w:t>
      </w:r>
    </w:p>
    <w:p w14:paraId="7B3D4690">
      <w:pPr>
        <w:pStyle w:val="23"/>
        <w:numPr>
          <w:ilvl w:val="0"/>
          <w:numId w:val="1"/>
        </w:numPr>
        <w:spacing w:before="40" w:after="60"/>
      </w:pPr>
      <w:r>
        <w:t>kreiranje Kanban ploča sa zadacima koji imaju jasno definisan životni ciklus (ToDo, InProgress, PR, Testing, Done),</w:t>
      </w:r>
    </w:p>
    <w:p w14:paraId="2D4C4544">
      <w:pPr>
        <w:pStyle w:val="23"/>
        <w:numPr>
          <w:ilvl w:val="0"/>
          <w:numId w:val="1"/>
        </w:numPr>
        <w:spacing w:before="40" w:after="60"/>
      </w:pPr>
      <w:r>
        <w:t>upravljanje zadacima: prioritet, dodeljeni korisnik, fajlovi, komentari i podzadaci,</w:t>
      </w:r>
    </w:p>
    <w:p w14:paraId="1C8D4E02">
      <w:pPr>
        <w:pStyle w:val="23"/>
        <w:numPr>
          <w:ilvl w:val="0"/>
          <w:numId w:val="1"/>
        </w:numPr>
        <w:spacing w:before="40" w:after="60"/>
      </w:pPr>
      <w:r>
        <w:t>pesimističko zaključavanje ploča i zadataka radi sprečavanja konfliktnih izmena,</w:t>
      </w:r>
    </w:p>
    <w:p w14:paraId="11EB4021">
      <w:pPr>
        <w:pStyle w:val="23"/>
        <w:numPr>
          <w:ilvl w:val="0"/>
          <w:numId w:val="1"/>
        </w:numPr>
        <w:spacing w:before="40" w:after="60"/>
      </w:pPr>
      <w:r>
        <w:t>real-time notifikacije o promenama kroz SignalR,</w:t>
      </w:r>
    </w:p>
    <w:p w14:paraId="330FCD11">
      <w:pPr>
        <w:pStyle w:val="23"/>
        <w:numPr>
          <w:ilvl w:val="0"/>
          <w:numId w:val="1"/>
        </w:numPr>
        <w:spacing w:before="40" w:after="60"/>
      </w:pPr>
      <w:r>
        <w:t>asinhronu obradu domenskih događaja kroz RabbitMQ poruke,</w:t>
      </w:r>
    </w:p>
    <w:p w14:paraId="714478B2">
      <w:pPr>
        <w:pStyle w:val="23"/>
        <w:numPr>
          <w:ilvl w:val="0"/>
          <w:numId w:val="1"/>
        </w:numPr>
        <w:spacing w:before="40" w:after="60"/>
      </w:pPr>
      <w:r>
        <w:t>grupni i direktni čat između članova tima,</w:t>
      </w:r>
    </w:p>
    <w:p w14:paraId="75423C55">
      <w:pPr>
        <w:pStyle w:val="23"/>
        <w:numPr>
          <w:ilvl w:val="0"/>
          <w:numId w:val="1"/>
        </w:numPr>
        <w:spacing w:before="40" w:after="60"/>
      </w:pPr>
      <w:r>
        <w:t>evidentiranje svih domenskih događaja u bazi podataka radi audit traga.</w:t>
      </w:r>
    </w:p>
    <w:p w14:paraId="18989A4A">
      <w:pPr>
        <w:spacing w:after="60"/>
      </w:pPr>
    </w:p>
    <w:p w14:paraId="2B3BCBD5">
      <w:pPr>
        <w:spacing w:before="40" w:after="100"/>
        <w:jc w:val="both"/>
      </w:pPr>
      <w:r>
        <w:t>Sa tehničkog aspekta, cilj projekta je da demonstrira:</w:t>
      </w:r>
    </w:p>
    <w:p w14:paraId="461EE5BF">
      <w:pPr>
        <w:pStyle w:val="23"/>
        <w:numPr>
          <w:ilvl w:val="0"/>
          <w:numId w:val="1"/>
        </w:numPr>
        <w:spacing w:before="40" w:after="60"/>
      </w:pPr>
      <w:r>
        <w:t>Slojevitu arhitekturu (Clean Architecture) sa jasnom separacijom odgovornosti,</w:t>
      </w:r>
    </w:p>
    <w:p w14:paraId="448907D1">
      <w:pPr>
        <w:pStyle w:val="23"/>
        <w:numPr>
          <w:ilvl w:val="0"/>
          <w:numId w:val="1"/>
        </w:numPr>
        <w:spacing w:before="40" w:after="60"/>
      </w:pPr>
      <w:r>
        <w:t>primenu State, Observer, Command i Factory projektnih obrazaca u domenskoj logici,</w:t>
      </w:r>
    </w:p>
    <w:p w14:paraId="7173DEE5">
      <w:pPr>
        <w:pStyle w:val="23"/>
        <w:numPr>
          <w:ilvl w:val="0"/>
          <w:numId w:val="1"/>
        </w:numPr>
        <w:spacing w:before="40" w:after="60"/>
      </w:pPr>
      <w:r>
        <w:t>podršku za konkurentni pristup podacima kroz pesimističko zaključavanje na nivou ploče i zadatka,</w:t>
      </w:r>
    </w:p>
    <w:p w14:paraId="4F7AB524">
      <w:pPr>
        <w:pStyle w:val="23"/>
        <w:numPr>
          <w:ilvl w:val="0"/>
          <w:numId w:val="1"/>
        </w:numPr>
        <w:spacing w:before="40" w:after="60"/>
      </w:pPr>
      <w:r>
        <w:t>implementaciju real-time komunikacije putem SignalR protokola,</w:t>
      </w:r>
    </w:p>
    <w:p w14:paraId="67FAD62B">
      <w:pPr>
        <w:pStyle w:val="23"/>
        <w:numPr>
          <w:ilvl w:val="0"/>
          <w:numId w:val="1"/>
        </w:numPr>
        <w:spacing w:before="40" w:after="60"/>
      </w:pPr>
      <w:r>
        <w:t>asinhronu obradu događaja kroz RabbitMQ Publish–Subscribe mehanizam,</w:t>
      </w:r>
    </w:p>
    <w:p w14:paraId="28DDB31F">
      <w:pPr>
        <w:pStyle w:val="23"/>
        <w:numPr>
          <w:ilvl w:val="0"/>
          <w:numId w:val="1"/>
        </w:numPr>
        <w:spacing w:before="40" w:after="60"/>
      </w:pPr>
      <w:r>
        <w:t>perzistenciju domenskih objekata u PostgreSQL bazi uz EF Core ORM.</w:t>
      </w:r>
    </w:p>
    <w:p w14:paraId="499F257B">
      <w:pPr>
        <w:pStyle w:val="3"/>
      </w:pPr>
      <w:bookmarkStart w:id="4" w:name="_Toc11212"/>
      <w:r>
        <w:t>1.4. Akademski cilj projekta</w:t>
      </w:r>
      <w:bookmarkEnd w:id="4"/>
    </w:p>
    <w:p w14:paraId="62AC5581">
      <w:pPr>
        <w:spacing w:before="40" w:after="100"/>
        <w:jc w:val="both"/>
      </w:pPr>
      <w:r>
        <w:t>Pored funkcionalnog cilja, projekat ima i izražen edukativni cilj. Kroz realizaciju projekta demonstrira se:</w:t>
      </w:r>
    </w:p>
    <w:p w14:paraId="295E947A">
      <w:pPr>
        <w:pStyle w:val="23"/>
        <w:numPr>
          <w:ilvl w:val="0"/>
          <w:numId w:val="1"/>
        </w:numPr>
        <w:spacing w:before="40" w:after="60"/>
      </w:pPr>
      <w:r>
        <w:t>primena principa objektno-orijentisanog dizajna i SOLID principa,</w:t>
      </w:r>
    </w:p>
    <w:p w14:paraId="690D2D32">
      <w:pPr>
        <w:pStyle w:val="23"/>
        <w:numPr>
          <w:ilvl w:val="0"/>
          <w:numId w:val="1"/>
        </w:numPr>
        <w:spacing w:before="40" w:after="60"/>
      </w:pPr>
      <w:r>
        <w:t>pravilno modelovanje domenskih entiteta i poslovnih pravila kroz domenski sloj,</w:t>
      </w:r>
    </w:p>
    <w:p w14:paraId="04A666EB">
      <w:pPr>
        <w:pStyle w:val="23"/>
        <w:numPr>
          <w:ilvl w:val="0"/>
          <w:numId w:val="1"/>
        </w:numPr>
        <w:spacing w:before="40" w:after="60"/>
      </w:pPr>
      <w:r>
        <w:t>rešavanje problema konkurentnog rada i sinhronizacije kroz pesimističko zaključavanje,</w:t>
      </w:r>
    </w:p>
    <w:p w14:paraId="562BD3EE">
      <w:pPr>
        <w:pStyle w:val="23"/>
        <w:numPr>
          <w:ilvl w:val="0"/>
          <w:numId w:val="1"/>
        </w:numPr>
        <w:spacing w:before="40" w:after="60"/>
      </w:pPr>
      <w:r>
        <w:t>implementacija State obrasca za upravljanje životnim ciklusom zadataka,</w:t>
      </w:r>
    </w:p>
    <w:p w14:paraId="6DFB0D0B">
      <w:pPr>
        <w:pStyle w:val="23"/>
        <w:numPr>
          <w:ilvl w:val="0"/>
          <w:numId w:val="1"/>
        </w:numPr>
        <w:spacing w:before="40" w:after="60"/>
      </w:pPr>
      <w:r>
        <w:t>implementacija Observer obrasca za distribuciju domenskih događaja,</w:t>
      </w:r>
    </w:p>
    <w:p w14:paraId="626CD185">
      <w:pPr>
        <w:pStyle w:val="23"/>
        <w:numPr>
          <w:ilvl w:val="0"/>
          <w:numId w:val="1"/>
        </w:numPr>
        <w:spacing w:before="40" w:after="60"/>
      </w:pPr>
      <w:r>
        <w:t>implementacija Command obrasca za enkapsulaciju poslovnih operacija,</w:t>
      </w:r>
    </w:p>
    <w:p w14:paraId="0D0A9635">
      <w:pPr>
        <w:pStyle w:val="23"/>
        <w:numPr>
          <w:ilvl w:val="0"/>
          <w:numId w:val="1"/>
        </w:numPr>
        <w:spacing w:before="40" w:after="60"/>
      </w:pPr>
      <w:r>
        <w:t>integracija više različitih tehnologija (SignalR, RabbitMQ, PostgreSQL, EF Core) u jedinstven sistem,</w:t>
      </w:r>
    </w:p>
    <w:p w14:paraId="09A3C12C">
      <w:pPr>
        <w:pStyle w:val="23"/>
        <w:numPr>
          <w:ilvl w:val="0"/>
          <w:numId w:val="1"/>
        </w:numPr>
        <w:spacing w:before="40" w:after="60"/>
      </w:pPr>
      <w:r>
        <w:t>projektovanje proširive i održive softverske arhitekture po principima Clean Architecture.</w:t>
      </w:r>
    </w:p>
    <w:p w14:paraId="01A2A064"/>
    <w:p w14:paraId="17EAF949">
      <w:pPr>
        <w:pStyle w:val="2"/>
        <w:pBdr>
          <w:bottom w:val="single" w:color="2E75B6" w:sz="6" w:space="6"/>
        </w:pBdr>
      </w:pPr>
      <w:bookmarkStart w:id="5" w:name="_Toc31953"/>
      <w:r>
        <w:t>2. Arhitekturni zahtevi</w:t>
      </w:r>
      <w:bookmarkEnd w:id="5"/>
    </w:p>
    <w:p w14:paraId="055B7FB2">
      <w:pPr>
        <w:spacing w:before="40" w:after="100"/>
        <w:jc w:val="both"/>
      </w:pPr>
      <w:r>
        <w:t>U ovom poglavlju definisani su glavni funkcionalni zahtevi, nefunkcionalni zahtevi (atributi kvaliteta), kao i tehnička i poslovna ograničenja sistema. Ovi zahtevi predstavljaju osnovu za izbor arhitekturnih obrazaca, tehnologija i organizaciju softverskog sistema.</w:t>
      </w:r>
    </w:p>
    <w:p w14:paraId="70FA5CC6">
      <w:pPr>
        <w:pStyle w:val="3"/>
      </w:pPr>
      <w:bookmarkStart w:id="6" w:name="_Toc22586"/>
      <w:r>
        <w:t>2.1. Glavni funkcionalni zahtevi</w:t>
      </w:r>
      <w:bookmarkEnd w:id="6"/>
    </w:p>
    <w:p w14:paraId="2A4A6FF1">
      <w:pPr>
        <w:spacing w:before="40" w:after="100"/>
        <w:jc w:val="both"/>
      </w:pPr>
      <w:r>
        <w:t>U nastavku su navedeni osnovni funkcionalni zahtevi koje sistem mora da ispuni.</w:t>
      </w:r>
    </w:p>
    <w:p w14:paraId="5841F98B">
      <w:pPr>
        <w:spacing w:after="6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DF0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C038">
            <w:r>
              <w:rPr>
                <w:b/>
                <w:bCs/>
                <w:color w:val="1F4E79"/>
              </w:rPr>
              <w:t>Zahtev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7516">
            <w:r>
              <w:rPr>
                <w:b/>
                <w:bCs/>
                <w:color w:val="1F4E79"/>
              </w:rPr>
              <w:t>Opis</w:t>
            </w:r>
          </w:p>
        </w:tc>
      </w:tr>
      <w:tr w14:paraId="6887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DA8">
            <w:r>
              <w:rPr>
                <w:b/>
                <w:bCs/>
              </w:rPr>
              <w:t>Registracija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433">
            <w:r>
              <w:t>Sistem mora omogućiti novim korisnicima kreiranje naloga unosom imena, prezimena, e-mail adrese i lozinke.</w:t>
            </w:r>
          </w:p>
        </w:tc>
      </w:tr>
      <w:tr w14:paraId="1CF2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BDE5">
            <w:r>
              <w:rPr>
                <w:b/>
                <w:bCs/>
              </w:rPr>
              <w:t>Prijavljivanje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55A3">
            <w:r>
              <w:t>Sistem mora omogućiti autentikaciju korisnika putem e-mail adrese i lozinke, uz generisanje JWT tokena za pristup zaštićenim resursima.</w:t>
            </w:r>
          </w:p>
        </w:tc>
      </w:tr>
      <w:tr w14:paraId="61FB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415D">
            <w:r>
              <w:rPr>
                <w:b/>
                <w:bCs/>
              </w:rPr>
              <w:t>Upravljanje radnim prostorom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DBB9">
            <w:r>
              <w:t>Sistem mora omogućiti kreiranje radnog prostora (Workspace) i pozivanje članova sa ulogama: Owner, Member, Guest.</w:t>
            </w:r>
          </w:p>
        </w:tc>
      </w:tr>
      <w:tr w14:paraId="780B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F459">
            <w:r>
              <w:rPr>
                <w:b/>
                <w:bCs/>
              </w:rPr>
              <w:t>Upravljanje pločama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72B9">
            <w:r>
              <w:t>Sistem mora omogućiti kreiranje i upravljanje Kanban pločama (Board) unutar radnog prostora.</w:t>
            </w:r>
          </w:p>
        </w:tc>
      </w:tr>
      <w:tr w14:paraId="3721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4582">
            <w:r>
              <w:rPr>
                <w:b/>
                <w:bCs/>
              </w:rPr>
              <w:t>Upravljanje zadacima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2D44">
            <w:r>
              <w:t>Sistem mora omogućiti kreiranje, pregled, izmenu i brisanje radnih zadataka (Work Item) sa atributima: naziv, opis, prioritet, status i dodeljeni korisnik.</w:t>
            </w:r>
          </w:p>
        </w:tc>
      </w:tr>
      <w:tr w14:paraId="433B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A8A">
            <w:r>
              <w:rPr>
                <w:b/>
                <w:bCs/>
              </w:rPr>
              <w:t>Podzadaci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A7A2">
            <w:r>
              <w:t>Sistem mora podržavati kreiranje i upravljanje podzadacima (Sub Work Item) za svaki zadatak.</w:t>
            </w:r>
          </w:p>
        </w:tc>
      </w:tr>
      <w:tr w14:paraId="57C3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66B8">
            <w:r>
              <w:rPr>
                <w:b/>
                <w:bCs/>
              </w:rPr>
              <w:t>Fajlovi uz zadatak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2EA">
            <w:r>
              <w:t>Sistem mora omogućiti prilaganje i upravljanje fajlovima uz zadatak.</w:t>
            </w:r>
          </w:p>
        </w:tc>
      </w:tr>
      <w:tr w14:paraId="1698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1CFB">
            <w:r>
              <w:rPr>
                <w:b/>
                <w:bCs/>
              </w:rPr>
              <w:t>Komentari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3E1C">
            <w:r>
              <w:t>Sistem mora omogućiti ostavljanje komentara na zadatak od strane članova tima.</w:t>
            </w:r>
          </w:p>
        </w:tc>
      </w:tr>
      <w:tr w14:paraId="5D36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272C">
            <w:r>
              <w:rPr>
                <w:b/>
                <w:bCs/>
              </w:rPr>
              <w:t>Životni ciklus zadatka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4EEC">
            <w:r>
              <w:t>Sistem mora sprovesti validne prelaze: ToDo → InProgress → PR → Testing → Done, uz ograničenja prelaza po stanju.</w:t>
            </w:r>
          </w:p>
        </w:tc>
      </w:tr>
      <w:tr w14:paraId="1549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0968">
            <w:r>
              <w:rPr>
                <w:b/>
                <w:bCs/>
              </w:rPr>
              <w:t>Zaključavanje ploče (Board Lock)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6759">
            <w:r>
              <w:t>Sistem mora omogućiti ekskluzivno zaključavanje ploče sa TTL-om (30s) i FIFO redom čekanja za ostale korisnike.</w:t>
            </w:r>
          </w:p>
        </w:tc>
      </w:tr>
      <w:tr w14:paraId="3AD9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8DF9">
            <w:r>
              <w:rPr>
                <w:b/>
                <w:bCs/>
              </w:rPr>
              <w:t>Zaključavanje zadatka (Work Item Lock)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8A6C">
            <w:r>
              <w:t>Sistem mora omogućiti ekskluzivno zaključavanje zadatka sa TTL-om i praćenjem interesnih korisnika.</w:t>
            </w:r>
          </w:p>
        </w:tc>
      </w:tr>
      <w:tr w14:paraId="6483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D66C">
            <w:r>
              <w:rPr>
                <w:b/>
                <w:bCs/>
              </w:rPr>
              <w:t>Real-time notifikacije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A045">
            <w:r>
              <w:t>Sistem mora obaveštavati korisnike o promenama u realnom vremenu putem SignalR protokola.</w:t>
            </w:r>
          </w:p>
        </w:tc>
      </w:tr>
      <w:tr w14:paraId="25E1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2F99">
            <w:r>
              <w:rPr>
                <w:b/>
                <w:bCs/>
              </w:rPr>
              <w:t>Asinhrona obrada događaja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00A8">
            <w:r>
              <w:t>Sistem mora asinhrono obraditi domenske događaje kroz RabbitMQ i perzistirati ih u bazi podataka (audit trail).</w:t>
            </w:r>
          </w:p>
        </w:tc>
      </w:tr>
      <w:tr w14:paraId="7252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3DCD">
            <w:r>
              <w:rPr>
                <w:b/>
                <w:bCs/>
              </w:rPr>
              <w:t>Chat komunikacija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F0C">
            <w:r>
              <w:t>Sistem mora podržavati direktnu i grupnu komunikaciju članova tima.</w:t>
            </w:r>
          </w:p>
        </w:tc>
      </w:tr>
      <w:tr w14:paraId="7F0F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DAA7">
            <w:r>
              <w:rPr>
                <w:b/>
                <w:bCs/>
              </w:rPr>
              <w:t>Online status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1363">
            <w:r>
              <w:t>Sistem mora pratiti i prikazivati online/offline status korisnika na osnovu SignalR konekcija.</w:t>
            </w:r>
          </w:p>
        </w:tc>
      </w:tr>
    </w:tbl>
    <w:p w14:paraId="221EA3CA">
      <w:pPr>
        <w:spacing w:after="80"/>
      </w:pPr>
    </w:p>
    <w:p w14:paraId="272A8DCF">
      <w:pPr>
        <w:pStyle w:val="3"/>
      </w:pPr>
      <w:bookmarkStart w:id="7" w:name="_Toc966"/>
      <w:r>
        <w:t>2.2. Nefunkcionalni zahtevi (atributi kvaliteta)</w:t>
      </w:r>
      <w:bookmarkEnd w:id="7"/>
    </w:p>
    <w:p w14:paraId="519E5181">
      <w:pPr>
        <w:pStyle w:val="4"/>
      </w:pPr>
      <w:bookmarkStart w:id="8" w:name="_Toc3134"/>
      <w:r>
        <w:t>Pouzdanost</w:t>
      </w:r>
      <w:bookmarkEnd w:id="8"/>
    </w:p>
    <w:p w14:paraId="19BC8812">
      <w:pPr>
        <w:spacing w:before="40" w:after="100"/>
        <w:jc w:val="both"/>
      </w:pPr>
      <w:r>
        <w:t>Sistem mora obezbediti konzistentnost i integritet podataka u uslovima konkurentnog pristupa više korisnika. Pesimističko zaključavanje ploče i zadatka uz wrapping operacija u transakcije (IUnitOfWork) sprečava nekonzistentne izmene. RabbitMQ poruke su perzistentne (durable: true, Persistent: true), čime se obezbeđuje durabilnost događaja i nakon pada servisa.</w:t>
      </w:r>
    </w:p>
    <w:p w14:paraId="5F3910EA">
      <w:pPr>
        <w:pStyle w:val="4"/>
      </w:pPr>
      <w:bookmarkStart w:id="9" w:name="_Toc17456"/>
      <w:r>
        <w:t>Performanse</w:t>
      </w:r>
      <w:bookmarkEnd w:id="9"/>
    </w:p>
    <w:p w14:paraId="69BD5F64">
      <w:pPr>
        <w:spacing w:before="40" w:after="100"/>
        <w:jc w:val="both"/>
      </w:pPr>
      <w:r>
        <w:t>Sistem mora obezbediti kratko vreme odziva pri učitavanju podataka i minimalno kašnjenje u real-time komunikaciji. Cursor-based paginacija poruka sprečava prekomerno učitavanje. Indeksi na ključnim kolonama baze podataka (ReceivedAt, EventName u domain_event_logs; OwnerId u workspaces) obezbeđuju brze upite.</w:t>
      </w:r>
    </w:p>
    <w:p w14:paraId="3F12D79C">
      <w:pPr>
        <w:pStyle w:val="4"/>
      </w:pPr>
      <w:bookmarkStart w:id="10" w:name="_Toc4158"/>
      <w:r>
        <w:t>Dostupnost</w:t>
      </w:r>
      <w:bookmarkEnd w:id="10"/>
    </w:p>
    <w:p w14:paraId="3413393E">
      <w:pPr>
        <w:spacing w:before="40" w:after="100"/>
        <w:jc w:val="both"/>
      </w:pPr>
      <w:r>
        <w:t>Sistem mora biti dostupan u svakom trenutku. Docker Compose konfiguracija sa zdravstvenim proverama (healthcheck) za PostgreSQL i RabbitMQ obezbeđuje ispravni redosled pokretanja servisa. Background servisi za istek zaključavanja automatski obnavljaju konzistentnost sistema.</w:t>
      </w:r>
    </w:p>
    <w:p w14:paraId="017F068C">
      <w:pPr>
        <w:pStyle w:val="4"/>
      </w:pPr>
      <w:bookmarkStart w:id="11" w:name="_Toc22680"/>
      <w:r>
        <w:t>Skalabilnost</w:t>
      </w:r>
      <w:bookmarkEnd w:id="11"/>
    </w:p>
    <w:p w14:paraId="5BB59150">
      <w:pPr>
        <w:spacing w:before="40" w:after="100"/>
        <w:jc w:val="both"/>
      </w:pPr>
      <w:r>
        <w:t>Sistem mora biti sposoban da podrži rast broja korisnika i aktivnih ploča. Asinhrona obrada događaja kroz RabbitMQ odvaja produkciju od konzumpcije, dok SignalR grupe (user-{userId}) omogućavaju efikasno rutiranje notifikacija pojedinačnim korisnicima.</w:t>
      </w:r>
    </w:p>
    <w:p w14:paraId="5EBFE11E">
      <w:pPr>
        <w:pStyle w:val="4"/>
      </w:pPr>
      <w:bookmarkStart w:id="12" w:name="_Toc8560"/>
      <w:r>
        <w:t>Modifikabilnost</w:t>
      </w:r>
      <w:bookmarkEnd w:id="12"/>
    </w:p>
    <w:p w14:paraId="364A8607">
      <w:pPr>
        <w:spacing w:before="40" w:after="100"/>
        <w:jc w:val="both"/>
      </w:pPr>
      <w:r>
        <w:t>Clean Architecture sa jasno definisanim interfejsima (IWorkItemRepository, IBoardLockService, IDomainEventObserver) omogućava laku zamenu ili proširenje bilo kog sloja. ISP princip je primenjen razdvajanjem IWorkItemLockExpiryService i IBoardLockPromotionService u zasebne interfejse.</w:t>
      </w:r>
    </w:p>
    <w:p w14:paraId="4F021D27">
      <w:pPr>
        <w:pStyle w:val="4"/>
      </w:pPr>
      <w:bookmarkStart w:id="13" w:name="_Toc10979"/>
      <w:r>
        <w:t>Sigurnost</w:t>
      </w:r>
      <w:bookmarkEnd w:id="13"/>
    </w:p>
    <w:p w14:paraId="3BD4452F">
      <w:pPr>
        <w:spacing w:before="40" w:after="100"/>
        <w:jc w:val="both"/>
      </w:pPr>
      <w:r>
        <w:t>Sistem obezbeđuje autentikaciju putem JWT tokena (HS256), autorizaciju na nivou endpoint-a ([Authorize] atribut i IUserContext), i zasebnu obradu grešaka kroz GlobalExceptionMiddleware koja maskira interne detalje sistema prema klijentu.</w:t>
      </w:r>
    </w:p>
    <w:p w14:paraId="7148D1D5">
      <w:pPr>
        <w:pStyle w:val="3"/>
      </w:pPr>
      <w:bookmarkStart w:id="14" w:name="_Toc17799"/>
      <w:r>
        <w:t>2.3. Tehnička ograničenja</w:t>
      </w:r>
      <w:bookmarkEnd w:id="14"/>
    </w:p>
    <w:p w14:paraId="39A7C77E">
      <w:pPr>
        <w:spacing w:before="40" w:after="100"/>
        <w:jc w:val="both"/>
      </w:pPr>
      <w:r>
        <w:t>Tehnička ograničenja proizilaze iz prirode izabranih tehnologija i distribuiranog okruženja.</w:t>
      </w:r>
    </w:p>
    <w:p w14:paraId="19E498D1">
      <w:pPr>
        <w:spacing w:after="40"/>
      </w:pPr>
    </w:p>
    <w:p w14:paraId="0B4384EF">
      <w:pPr>
        <w:pStyle w:val="23"/>
        <w:numPr>
          <w:ilvl w:val="0"/>
          <w:numId w:val="1"/>
        </w:numPr>
        <w:spacing w:before="40" w:after="60"/>
      </w:pPr>
      <w:r>
        <w:t>Pristup putem web preglednika – sistem mora biti dostupan putem standardnih web preglednika bez instalacije dodatnih komponenti.</w:t>
      </w:r>
    </w:p>
    <w:p w14:paraId="4E93F14C">
      <w:pPr>
        <w:pStyle w:val="23"/>
        <w:numPr>
          <w:ilvl w:val="0"/>
          <w:numId w:val="1"/>
        </w:numPr>
        <w:spacing w:before="40" w:after="60"/>
      </w:pPr>
      <w:r>
        <w:t>Distribuirano okruženje – sistem se oslanja na spoljne servise (PostgreSQL, RabbitMQ) koji se pokreću u Docker kontejnerima i zahtevaju upravljanje konekcijama i toleranciju na parcijalne otkaze.</w:t>
      </w:r>
    </w:p>
    <w:p w14:paraId="570D8B41">
      <w:pPr>
        <w:pStyle w:val="23"/>
        <w:numPr>
          <w:ilvl w:val="0"/>
          <w:numId w:val="1"/>
        </w:numPr>
        <w:spacing w:before="40" w:after="60"/>
      </w:pPr>
      <w:r>
        <w:t>Konkurentni pristup podacima – sistem mora koristiti pesimističko zaključavanje na nivou baze podataka (tabele board_locks i work_item_locks) za obezbeđivanje konzistentnosti.</w:t>
      </w:r>
    </w:p>
    <w:p w14:paraId="2B4CC219">
      <w:pPr>
        <w:pStyle w:val="23"/>
        <w:numPr>
          <w:ilvl w:val="0"/>
          <w:numId w:val="1"/>
        </w:numPr>
        <w:spacing w:before="40" w:after="60"/>
      </w:pPr>
      <w:r>
        <w:t>Real-time komunikacija – sistem mora koristiti WebSocket-based komunikaciju (SignalR) za slanje notifikacija klijentima u realnom vremenu.</w:t>
      </w:r>
    </w:p>
    <w:p w14:paraId="477FA958">
      <w:pPr>
        <w:pStyle w:val="23"/>
        <w:numPr>
          <w:ilvl w:val="0"/>
          <w:numId w:val="1"/>
        </w:numPr>
        <w:spacing w:before="40" w:after="60"/>
      </w:pPr>
      <w:r>
        <w:t>Perzistencija podataka – sistem koristi PostgreSQL kao jedinu relacionu bazu podataka uz EF Core Code First migracije.</w:t>
      </w:r>
    </w:p>
    <w:p w14:paraId="360679D6">
      <w:pPr>
        <w:pStyle w:val="23"/>
        <w:numPr>
          <w:ilvl w:val="0"/>
          <w:numId w:val="1"/>
        </w:numPr>
        <w:spacing w:before="40" w:after="60"/>
      </w:pPr>
      <w:r>
        <w:t>Asinhrona obrada – RabbitMQ queue-ovi (domain-events, user-events) moraju biti durable i poruke perzistentne radi otpornosti na pad servisa.</w:t>
      </w:r>
    </w:p>
    <w:p w14:paraId="69567E36">
      <w:pPr>
        <w:pStyle w:val="3"/>
      </w:pPr>
      <w:bookmarkStart w:id="15" w:name="_Toc26582"/>
      <w:r>
        <w:t>2.4. Poslovna ograničenja</w:t>
      </w:r>
      <w:bookmarkEnd w:id="15"/>
    </w:p>
    <w:p w14:paraId="35028342">
      <w:pPr>
        <w:spacing w:before="40" w:after="100"/>
        <w:jc w:val="both"/>
      </w:pPr>
      <w:r>
        <w:t>Poslovna ograničenja proizilaze iz pravila domena i realnog scenarija upotrebe.</w:t>
      </w:r>
    </w:p>
    <w:p w14:paraId="2D6122E0">
      <w:pPr>
        <w:spacing w:after="40"/>
      </w:pPr>
    </w:p>
    <w:p w14:paraId="28ECDF9C">
      <w:pPr>
        <w:pStyle w:val="23"/>
        <w:numPr>
          <w:ilvl w:val="0"/>
          <w:numId w:val="1"/>
        </w:numPr>
        <w:spacing w:before="40" w:after="60"/>
      </w:pPr>
      <w:r>
        <w:t>Životni ciklus zadatka – prelazi između stanja zadatka moraju pratiti definisani životni ciklus: ToDo može preći samo u InProgress; InProgress u PR ili ToDo; PR u Testing ili InProgress; Testing u Done ili PR; Done je terminalno stanje.</w:t>
      </w:r>
    </w:p>
    <w:p w14:paraId="6136AC94">
      <w:pPr>
        <w:pStyle w:val="23"/>
        <w:numPr>
          <w:ilvl w:val="0"/>
          <w:numId w:val="1"/>
        </w:numPr>
        <w:spacing w:before="40" w:after="60"/>
      </w:pPr>
      <w:r>
        <w:t>Pristup zaključanoj ploči – samo korisnik koji drži ključ (ili je promovisan iz reda čekanja) može menjati ploču; ostali korisnici dobijaju poziciju u FIFO redu i biraju READ način rada.</w:t>
      </w:r>
    </w:p>
    <w:p w14:paraId="4766F1D3">
      <w:pPr>
        <w:pStyle w:val="23"/>
        <w:numPr>
          <w:ilvl w:val="0"/>
          <w:numId w:val="1"/>
        </w:numPr>
        <w:spacing w:before="40" w:after="60"/>
      </w:pPr>
      <w:r>
        <w:t>Uloge u radnom prostoru – Guest uloga ne može kreirati zadatke; Admin može upravljati članovima prostora.</w:t>
      </w:r>
    </w:p>
    <w:p w14:paraId="02BB36FE">
      <w:pPr>
        <w:pStyle w:val="23"/>
        <w:numPr>
          <w:ilvl w:val="0"/>
          <w:numId w:val="1"/>
        </w:numPr>
        <w:spacing w:before="40" w:after="60"/>
      </w:pPr>
      <w:r>
        <w:t>Vlasništvo radnog prostora – jedan korisnik može biti vlasnik najviše jednog radnog prostora (unique index na workspaces.OwnerId).</w:t>
      </w:r>
    </w:p>
    <w:p w14:paraId="2D5FA437">
      <w:pPr>
        <w:pStyle w:val="23"/>
        <w:numPr>
          <w:ilvl w:val="0"/>
          <w:numId w:val="1"/>
        </w:numPr>
        <w:spacing w:before="40" w:after="60"/>
      </w:pPr>
      <w:r>
        <w:t>Automatski istek zaključavanja – Board Lock i Work Item Lock automatski istekaju nakon 30 sekundi bez obnavljanja (heartbeat), čime se osigurava da zaključani objekat ne ostane blokiran u slučaju pada klijenta.</w:t>
      </w:r>
    </w:p>
    <w:p w14:paraId="7F4BF75D"/>
    <w:p w14:paraId="02FBD33C">
      <w:pPr>
        <w:pStyle w:val="2"/>
        <w:pBdr>
          <w:bottom w:val="single" w:color="2E75B6" w:sz="6" w:space="6"/>
        </w:pBdr>
      </w:pPr>
      <w:bookmarkStart w:id="16" w:name="_Toc9381"/>
      <w:r>
        <w:t>3. Arhitekturni dizajn</w:t>
      </w:r>
      <w:bookmarkEnd w:id="16"/>
    </w:p>
    <w:p w14:paraId="0F4354CE">
      <w:pPr>
        <w:spacing w:before="40" w:after="100"/>
        <w:jc w:val="both"/>
      </w:pPr>
      <w:r>
        <w:t>U ovom poglavlju prikazani su arhitekturni obrasci koji se koriste u sistemu, generalna arhitektura sistema, strukturni pogledi, kao i bihejvioralni pogledi kroz karakteristične scenarije rada sistema.</w:t>
      </w:r>
    </w:p>
    <w:p w14:paraId="41B08CA0">
      <w:pPr>
        <w:pStyle w:val="3"/>
      </w:pPr>
      <w:bookmarkStart w:id="17" w:name="_Toc21426"/>
      <w:r>
        <w:t>3.1. Arhitekturni obrasci</w:t>
      </w:r>
      <w:bookmarkEnd w:id="17"/>
    </w:p>
    <w:p w14:paraId="383CC4EE">
      <w:pPr>
        <w:spacing w:before="40" w:after="100"/>
        <w:jc w:val="both"/>
      </w:pPr>
      <w:r>
        <w:t>U nastavku su navedeni arhitekturni obrasci i stilovi koji se koriste za realizaciju sistema. Na njihov izbor uticala je priroda domena, potreba za real-time komunikacijom, konkurentnim pristupom podacima i distribuiranom obradom događaja.</w:t>
      </w:r>
    </w:p>
    <w:p w14:paraId="1F7A6B70">
      <w:pPr>
        <w:pStyle w:val="4"/>
      </w:pPr>
      <w:bookmarkStart w:id="18" w:name="_Toc25611"/>
      <w:r>
        <w:t>3.1.1. Client–Server obrazac</w:t>
      </w:r>
      <w:bookmarkEnd w:id="18"/>
    </w:p>
    <w:p w14:paraId="6243CB1F">
      <w:pPr>
        <w:spacing w:before="40" w:after="100"/>
        <w:jc w:val="both"/>
      </w:pPr>
      <w:r>
        <w:t>Sistem je organizovan prema Client–Server arhitekturnom obrascu. Klijentska strana je Angular aplikacija koja korisnicima pruža interfejs za upravljanje radnim prostorima, pločama, zadacima i chat komunikacijom. Serverska strana je ASP.NET Core 10 aplikacija koja izlaže REST API za standardne CRUD zahteve i SignalR Hub (SystemHub) za real-time dvosmernu komunikaciju. Server izvršava poslovnu logiku, upravlja zaključavanjem, procesira domenske događaje i komunicira sa PostgreSQL bazom i RabbitMQ brokerom.</w:t>
      </w:r>
    </w:p>
    <w:p w14:paraId="10000002">
      <w:pPr>
        <w:spacing w:before="40" w:after="100"/>
        <w:jc w:val="both"/>
      </w:pPr>
      <w:r>
        <w:t>Zašto je korišten: Sistem zahtjeva centralizovanu obradu poslovne logike, autentikaciju, zaključavanje i event streaming koji ne mogu biti pouzdano implementirani na klijentu. Client–Server omogućava da Angular ostane tanka aplikacija, dok ASP.NET Core backend garantuje konzistentnost.</w:t>
      </w:r>
    </w:p>
    <w:p w14:paraId="10000003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04">
      <w:pPr>
        <w:pStyle w:val="23"/>
        <w:numPr>
          <w:ilvl w:val="0"/>
          <w:numId w:val="1"/>
        </w:numPr>
        <w:spacing w:before="40" w:after="60"/>
      </w:pPr>
      <w:r>
        <w:t>Centralizovana poslovna logika olakšava upravljanje sigurnošću i autorizacijom.</w:t>
      </w:r>
    </w:p>
    <w:p w14:paraId="10000005">
      <w:pPr>
        <w:pStyle w:val="23"/>
        <w:numPr>
          <w:ilvl w:val="0"/>
          <w:numId w:val="1"/>
        </w:numPr>
        <w:spacing w:before="40" w:after="60"/>
      </w:pPr>
      <w:r>
        <w:t>Klijent je neovisan o bazi podataka i infrastrukturi – zamjena Angular-a ne mijenja server.</w:t>
      </w:r>
    </w:p>
    <w:p w14:paraId="10000006">
      <w:pPr>
        <w:pStyle w:val="23"/>
        <w:numPr>
          <w:ilvl w:val="0"/>
          <w:numId w:val="1"/>
        </w:numPr>
        <w:spacing w:before="40" w:after="60"/>
      </w:pPr>
      <w:r>
        <w:t>Svi klijenti uvijek vide konzistentno stanje podataka.</w:t>
      </w:r>
    </w:p>
    <w:p w14:paraId="10000007">
      <w:pPr>
        <w:pStyle w:val="23"/>
        <w:numPr>
          <w:ilvl w:val="0"/>
          <w:numId w:val="1"/>
        </w:numPr>
        <w:spacing w:before="40" w:after="60"/>
      </w:pPr>
      <w:r>
        <w:t>Jednostavno horizontalno skaliranje serverske strane bez izmjene klijenta.</w:t>
      </w:r>
    </w:p>
    <w:p w14:paraId="10000008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09">
      <w:pPr>
        <w:pStyle w:val="23"/>
        <w:numPr>
          <w:ilvl w:val="0"/>
          <w:numId w:val="1"/>
        </w:numPr>
        <w:spacing w:before="40" w:after="60"/>
      </w:pPr>
      <w:r>
        <w:t>Potencijalni usko grlo na serveru pri velikom broju istovremenih korisnika.</w:t>
      </w:r>
    </w:p>
    <w:p w14:paraId="1000000A">
      <w:pPr>
        <w:pStyle w:val="23"/>
        <w:numPr>
          <w:ilvl w:val="0"/>
          <w:numId w:val="1"/>
        </w:numPr>
        <w:spacing w:before="40" w:after="60"/>
      </w:pPr>
      <w:r>
        <w:t>Svaki zahtjev zahtijeva mrežnu komunikaciju što povećava latenciju.</w:t>
      </w:r>
    </w:p>
    <w:p w14:paraId="1000000B">
      <w:pPr>
        <w:pStyle w:val="23"/>
        <w:numPr>
          <w:ilvl w:val="0"/>
          <w:numId w:val="1"/>
        </w:numPr>
        <w:spacing w:before="40" w:after="60"/>
      </w:pPr>
      <w:r>
        <w:t>Pad servera čini sistem nedostupnim svim klijentima.</w:t>
      </w:r>
    </w:p>
    <w:p w14:paraId="58DEFCC1">
      <w:pPr>
        <w:pStyle w:val="4"/>
      </w:pPr>
      <w:bookmarkStart w:id="19" w:name="_Toc12465"/>
      <w:r>
        <w:t>3.1.2. Slojevita arhitektura (Clean Architecture)</w:t>
      </w:r>
      <w:bookmarkEnd w:id="19"/>
    </w:p>
    <w:p w14:paraId="6E392735">
      <w:pPr>
        <w:spacing w:before="40" w:after="100"/>
        <w:jc w:val="both"/>
      </w:pPr>
      <w:r>
        <w:t>Sistem je organizovan u četiri jasno razgraničena sloja:</w:t>
      </w:r>
    </w:p>
    <w:p w14:paraId="78BB8505">
      <w:pPr>
        <w:pStyle w:val="23"/>
        <w:numPr>
          <w:ilvl w:val="0"/>
          <w:numId w:val="1"/>
        </w:numPr>
        <w:spacing w:before="40" w:after="60"/>
      </w:pPr>
      <w:r>
        <w:t>API sloj – sadrži REST kontrolere (AuthController, WorkspaceController, BoardController, WorkItemController, ChatController, BoardLockController, WorkItemLockController, CommentController, SubWorkItemController, WorkItemFileController, UserController) i SignalR Hub (SystemHub). Jedina zaduženost je primanje zahteva i delegiranje aplikacionom sloju.</w:t>
      </w:r>
    </w:p>
    <w:p w14:paraId="4811EB3E">
      <w:pPr>
        <w:pStyle w:val="23"/>
        <w:numPr>
          <w:ilvl w:val="0"/>
          <w:numId w:val="1"/>
        </w:numPr>
        <w:spacing w:before="40" w:after="60"/>
      </w:pPr>
      <w:r>
        <w:t>Aplikacioni sloj – sadrži servise koji implementiraju use-case logiku (AuthService, WorkspaceService, BoardService, WorkItemService, BoardLockService, ChatService, CommentService, InvitationService i dr.) i apstraktne interfejse ka infrastrukturi (IWorkItemRepository, IMessageBus, INotificationService, IUnitOfWork).</w:t>
      </w:r>
    </w:p>
    <w:p w14:paraId="35083D2D">
      <w:pPr>
        <w:pStyle w:val="23"/>
        <w:numPr>
          <w:ilvl w:val="0"/>
          <w:numId w:val="1"/>
        </w:numPr>
        <w:spacing w:before="40" w:after="60"/>
      </w:pPr>
      <w:r>
        <w:t>Domenski sloj – sadrži entitete (User, Workspace, Board, WorkItem, SubWorkItem, Comment, Message, Conversation, BoardLock, WorkItemLock), enumeracije (WorkItemStatus, Priority, UserRole), State mašinu, Observer i Command obrasce i DomainEventSubject.</w:t>
      </w:r>
    </w:p>
    <w:p w14:paraId="0E80F10B">
      <w:pPr>
        <w:pStyle w:val="23"/>
        <w:numPr>
          <w:ilvl w:val="0"/>
          <w:numId w:val="1"/>
        </w:numPr>
        <w:spacing w:before="40" w:after="60"/>
      </w:pPr>
      <w:r>
        <w:t>Infrastrukturni sloj – sadrži konkretne implementacije: EF Core repozitorijume, AppDbContext, RabbitMQBus, RabbitMqConnectionManager, SignalRNotificationService i Background servise za istek zaključavanja.</w:t>
      </w:r>
    </w:p>
    <w:p w14:paraId="6A899B66">
      <w:pPr>
        <w:spacing w:after="60"/>
      </w:pPr>
    </w:p>
    <w:p w14:paraId="50F8C093">
      <w:pPr>
        <w:spacing w:before="40" w:after="100"/>
        <w:jc w:val="both"/>
      </w:pPr>
      <w:r>
        <w:t>Ovakva organizacija garantuje da domenski i aplikacioni sloj ne zavise od konkretnih tehnoloških implementacija, što olakšava testiranje i zamenu infrastrukturnih komponenti.</w:t>
      </w:r>
    </w:p>
    <w:p w14:paraId="1000000C">
      <w:pPr>
        <w:spacing w:before="40" w:after="100"/>
        <w:jc w:val="both"/>
      </w:pPr>
      <w:r>
        <w:t>Zašto je korišten: Potreba za jasnom separacijom odgovornosti i testabilnošću je ključni razlog izbora Clean Architecture. Domenski sloj mora biti neovisan od infrastrukture (EF Core, RabbitMQ, SignalR) kako bi poslovne regule ostale stabilne pri eventualnoj zameni tehnologija.</w:t>
      </w:r>
    </w:p>
    <w:p w14:paraId="1000000D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0E">
      <w:pPr>
        <w:pStyle w:val="23"/>
        <w:numPr>
          <w:ilvl w:val="0"/>
          <w:numId w:val="1"/>
        </w:numPr>
        <w:spacing w:before="40" w:after="60"/>
      </w:pPr>
      <w:r>
        <w:t>Stroga separacija odgovornosti – svaki sloj ima jednu jasnu ulogu.</w:t>
      </w:r>
    </w:p>
    <w:p w14:paraId="1000000F">
      <w:pPr>
        <w:pStyle w:val="23"/>
        <w:numPr>
          <w:ilvl w:val="0"/>
          <w:numId w:val="1"/>
        </w:numPr>
        <w:spacing w:before="40" w:after="60"/>
      </w:pPr>
      <w:r>
        <w:t>Domenski sloj je neovisan o infrastrukturi: zamena PostgreSQL-a ne menja domen.</w:t>
      </w:r>
    </w:p>
    <w:p w14:paraId="10000010">
      <w:pPr>
        <w:pStyle w:val="23"/>
        <w:numPr>
          <w:ilvl w:val="0"/>
          <w:numId w:val="1"/>
        </w:numPr>
        <w:spacing w:before="40" w:after="60"/>
      </w:pPr>
      <w:r>
        <w:t>Visoka testabilnost – servisi se testiraju uz mock repozitorija bez prave baze.</w:t>
      </w:r>
    </w:p>
    <w:p w14:paraId="10000011">
      <w:pPr>
        <w:pStyle w:val="23"/>
        <w:numPr>
          <w:ilvl w:val="0"/>
          <w:numId w:val="1"/>
        </w:numPr>
        <w:spacing w:before="40" w:after="60"/>
      </w:pPr>
      <w:r>
        <w:t>Proširivost: novi observer ili servis dodaje se bez izmene postojećeg koda.</w:t>
      </w:r>
    </w:p>
    <w:p w14:paraId="10000012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13">
      <w:pPr>
        <w:pStyle w:val="23"/>
        <w:numPr>
          <w:ilvl w:val="0"/>
          <w:numId w:val="1"/>
        </w:numPr>
        <w:spacing w:before="40" w:after="60"/>
      </w:pPr>
      <w:r>
        <w:t>Veći broj apstrakcija i fajlova povećava inicijalni napor razvoja.</w:t>
      </w:r>
    </w:p>
    <w:p w14:paraId="10000014">
      <w:pPr>
        <w:pStyle w:val="23"/>
        <w:numPr>
          <w:ilvl w:val="0"/>
          <w:numId w:val="1"/>
        </w:numPr>
        <w:spacing w:before="40" w:after="60"/>
      </w:pPr>
      <w:r>
        <w:t>Kriva učenja za nove developere strmija nego kod jednostavnog monolita.</w:t>
      </w:r>
    </w:p>
    <w:p w14:paraId="10000015">
      <w:pPr>
        <w:pStyle w:val="23"/>
        <w:numPr>
          <w:ilvl w:val="0"/>
          <w:numId w:val="1"/>
        </w:numPr>
        <w:spacing w:before="40" w:after="60"/>
      </w:pPr>
      <w:r>
        <w:t>Može biti pretjerano složeno za male projekte s kratkim životnim ciklusom.</w:t>
      </w:r>
    </w:p>
    <w:p w14:paraId="7AD07370">
      <w:pPr>
        <w:pStyle w:val="4"/>
      </w:pPr>
      <w:bookmarkStart w:id="20" w:name="_Toc3871"/>
      <w:r>
        <w:t>3.1.3. Repository obrazac</w:t>
      </w:r>
      <w:bookmarkEnd w:id="20"/>
    </w:p>
    <w:p w14:paraId="227D9BBF">
      <w:pPr>
        <w:spacing w:before="40" w:after="100"/>
        <w:jc w:val="both"/>
      </w:pPr>
      <w:r>
        <w:t>Repository obrazac se koristi za apstrahovanje pristupa podacima. Aplikacioni sloj komunicira sa bazom podataka isključivo preko apstraktnih interfejsa definisanih u Application/Interfaces/IRepositories/ (IGenericRepository&lt;T&gt;, IWorkItemRepository, IBoardRepository, IConversationRepository, IMessageRepository, IBoardLockRepository, IWorkItemLockRepository, IDomainEventLogRepository i dr.). Konkretne implementacije smeštene su u Infrastructure/Persistence/Repositories/ i koriste EF Core DbContext.</w:t>
      </w:r>
    </w:p>
    <w:p w14:paraId="07458728">
      <w:pPr>
        <w:spacing w:before="40" w:after="100"/>
        <w:jc w:val="both"/>
      </w:pPr>
      <w:r>
        <w:t>GenericRepository&lt;T&gt; implementira osnovne CRUD operacije (GetById, Add, Update, Delete, GetAll), dok specijalizovani repozitorijumi proširuju ovu bazu domen-specifičnim upitima (npr. GetByBoardIdAsync u BoardLockRepository, GetParticipantAsync u ConversationParticipantRepository).</w:t>
      </w:r>
    </w:p>
    <w:p w14:paraId="10000016">
      <w:pPr>
        <w:spacing w:before="40" w:after="100"/>
        <w:jc w:val="both"/>
      </w:pPr>
      <w:r>
        <w:t>Zašto je korišten: Servisi ne smiju direktno pristupati DbContext-u jer to bi vezalo poslovnu logiku za konkretnu tehnologiju. Repository obrazac apstrahuje pristup podacima i omogućava zamenu implementacije bez izmene servisa.</w:t>
      </w:r>
    </w:p>
    <w:p w14:paraId="10000017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18">
      <w:pPr>
        <w:pStyle w:val="23"/>
        <w:numPr>
          <w:ilvl w:val="0"/>
          <w:numId w:val="1"/>
        </w:numPr>
        <w:spacing w:before="40" w:after="60"/>
      </w:pPr>
      <w:r>
        <w:t>Servisi su neovisni o EF Core – mogu se testirati uz in-memory mock repozitorija.</w:t>
      </w:r>
    </w:p>
    <w:p w14:paraId="10000019">
      <w:pPr>
        <w:pStyle w:val="23"/>
        <w:numPr>
          <w:ilvl w:val="0"/>
          <w:numId w:val="1"/>
        </w:numPr>
        <w:spacing w:before="40" w:after="60"/>
      </w:pPr>
      <w:r>
        <w:t>Specijalizovani repozitoriji (GetByBoardIdAsync, GetExpiredAsync) centralizuju domenske upite.</w:t>
      </w:r>
    </w:p>
    <w:p w14:paraId="1000001A">
      <w:pPr>
        <w:pStyle w:val="23"/>
        <w:numPr>
          <w:ilvl w:val="0"/>
          <w:numId w:val="1"/>
        </w:numPr>
        <w:spacing w:before="40" w:after="60"/>
      </w:pPr>
      <w:r>
        <w:t>IGenericRepository eliminira duplikaciju CRUD koda za sve entitete.</w:t>
      </w:r>
    </w:p>
    <w:p w14:paraId="1000001B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1C">
      <w:pPr>
        <w:pStyle w:val="23"/>
        <w:numPr>
          <w:ilvl w:val="0"/>
          <w:numId w:val="1"/>
        </w:numPr>
        <w:spacing w:before="40" w:after="60"/>
      </w:pPr>
      <w:r>
        <w:t>GenericRepository poziva SaveChangesAsync() unutar svake operacije, što otežava batch operacije.</w:t>
      </w:r>
    </w:p>
    <w:p w14:paraId="1000001D">
      <w:pPr>
        <w:pStyle w:val="23"/>
        <w:numPr>
          <w:ilvl w:val="0"/>
          <w:numId w:val="1"/>
        </w:numPr>
        <w:spacing w:before="40" w:after="60"/>
      </w:pPr>
      <w:r>
        <w:t>Veliki broj repozitorija (20 interfejsa) povećava obim registracija u DI kontejneru.</w:t>
      </w:r>
    </w:p>
    <w:p w14:paraId="1000001E">
      <w:pPr>
        <w:pStyle w:val="23"/>
        <w:numPr>
          <w:ilvl w:val="0"/>
          <w:numId w:val="1"/>
        </w:numPr>
        <w:spacing w:before="40" w:after="60"/>
      </w:pPr>
      <w:r>
        <w:t>Rizik od Generic Repository anti-pattern: previše generičan interfejs može ograničiti specifične optimizacije.</w:t>
      </w:r>
    </w:p>
    <w:p w14:paraId="78A4B2F1">
      <w:pPr>
        <w:pStyle w:val="4"/>
      </w:pPr>
      <w:bookmarkStart w:id="21" w:name="_Toc11881"/>
      <w:r>
        <w:t>3.1.4. Unit of Work obrazac</w:t>
      </w:r>
      <w:bookmarkEnd w:id="21"/>
    </w:p>
    <w:p w14:paraId="6D01CA54">
      <w:pPr>
        <w:spacing w:before="40" w:after="100"/>
        <w:jc w:val="both"/>
      </w:pPr>
      <w:r>
        <w:t>Unit of Work obrazac se koristi za koordinaciju pisanja promena više domenskih objekata u okviru jedne atomicne transakcije nad bazom podataka. Obrazac garantuje da se ili sve operacije izvrše uspesno, ili se cela transakcija poništi, cime se obezbeđuje konzistentnost podataka u uslovima konkurentnog pristupa.</w:t>
      </w:r>
    </w:p>
    <w:p w14:paraId="249CC3CB">
      <w:pPr>
        <w:spacing w:before="40" w:after="100"/>
        <w:jc w:val="both"/>
      </w:pPr>
      <w:r>
        <w:t>U sistemu, IUnitOfWork interfejs wrappuje IDbContextTransaction i koristi se u BoardLockService za atomicno izvršavanje INSERT u board_locks tabelu i brisanje odgovarajućeg reda iz board_lock_queue reda cekanja u okviru jedne transakcije. Na ovaj način se sprečava situacija u kojoj bi zaključavanje bilo evidentirano bez uklanjanja korisnika iz reda cekanja (ili obrnuto), što bi dovelo do nekonzistentnog stanja sistema.</w:t>
      </w:r>
    </w:p>
    <w:p w14:paraId="1000001F">
      <w:pPr>
        <w:spacing w:before="40" w:after="100"/>
        <w:jc w:val="both"/>
      </w:pPr>
      <w:r>
        <w:t>Zašto je korišten: Promocija korisnika iz reda čekanja zahtjeva atomičnu operaciju: INSERT novog BoardLock-a i DELETE iz reda čekanja moraju biti ili oba uspješna ili oba poništena. Bez transakcije, parcijalni uspjeh bi ostavio sistem u nekonzistentnom stanju.</w:t>
      </w:r>
    </w:p>
    <w:p w14:paraId="10000020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21">
      <w:pPr>
        <w:pStyle w:val="23"/>
        <w:numPr>
          <w:ilvl w:val="0"/>
          <w:numId w:val="1"/>
        </w:numPr>
        <w:spacing w:before="40" w:after="60"/>
      </w:pPr>
      <w:r>
        <w:t>Garantuje atomičnost više operacija – ili sve uspiju ili se sve ponište.</w:t>
      </w:r>
    </w:p>
    <w:p w14:paraId="10000022">
      <w:pPr>
        <w:pStyle w:val="23"/>
        <w:numPr>
          <w:ilvl w:val="0"/>
          <w:numId w:val="1"/>
        </w:numPr>
        <w:spacing w:before="40" w:after="60"/>
      </w:pPr>
      <w:r>
        <w:t>Sprečava situacije djelimičnog uspjeha koje ostavljaju sistem nekonzistentnim.</w:t>
      </w:r>
    </w:p>
    <w:p w14:paraId="10000023">
      <w:pPr>
        <w:pStyle w:val="23"/>
        <w:numPr>
          <w:ilvl w:val="0"/>
          <w:numId w:val="1"/>
        </w:numPr>
        <w:spacing w:before="40" w:after="60"/>
      </w:pPr>
      <w:r>
        <w:t>Prirodna integracija sa EF Core IDbContextTransaction.</w:t>
      </w:r>
    </w:p>
    <w:p w14:paraId="10000024">
      <w:pPr>
        <w:pStyle w:val="23"/>
        <w:numPr>
          <w:ilvl w:val="0"/>
          <w:numId w:val="1"/>
        </w:numPr>
        <w:spacing w:before="40" w:after="60"/>
      </w:pPr>
      <w:r>
        <w:t>Selektivna upotreba (samo u BoardLockService.PromoteNextInQueueAsync) smanjuje overhead.</w:t>
      </w:r>
    </w:p>
    <w:p w14:paraId="10000025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26">
      <w:pPr>
        <w:pStyle w:val="23"/>
        <w:numPr>
          <w:ilvl w:val="0"/>
          <w:numId w:val="1"/>
        </w:numPr>
        <w:spacing w:before="40" w:after="60"/>
      </w:pPr>
      <w:r>
        <w:t>GenericRepository koji sam poziva SaveChangesAsync() može interferirati s transakcijom.</w:t>
      </w:r>
    </w:p>
    <w:p w14:paraId="10000027">
      <w:pPr>
        <w:pStyle w:val="23"/>
        <w:numPr>
          <w:ilvl w:val="0"/>
          <w:numId w:val="1"/>
        </w:numPr>
        <w:spacing w:before="40" w:after="60"/>
      </w:pPr>
      <w:r>
        <w:t>Upravljanje životnim vijekom transakcije zahtjeva disciplinu pri hvatanju iznimki.</w:t>
      </w:r>
    </w:p>
    <w:p w14:paraId="10000028">
      <w:pPr>
        <w:pStyle w:val="23"/>
        <w:numPr>
          <w:ilvl w:val="0"/>
          <w:numId w:val="1"/>
        </w:numPr>
        <w:spacing w:before="40" w:after="60"/>
      </w:pPr>
      <w:r>
        <w:t>Ograničena upotreba samo u jednoj metodi – potencijal obrasca nije u potpunosti iskorišten.</w:t>
      </w:r>
    </w:p>
    <w:p w14:paraId="05C9E19D">
      <w:pPr>
        <w:pStyle w:val="4"/>
      </w:pPr>
      <w:bookmarkStart w:id="22" w:name="_Toc18873"/>
      <w:r>
        <w:t>3.1.5. Publish–Subscribe obrazac i domenski događaji</w:t>
      </w:r>
      <w:bookmarkEnd w:id="22"/>
    </w:p>
    <w:p w14:paraId="633EBAF9">
      <w:pPr>
        <w:spacing w:before="40" w:after="100"/>
        <w:jc w:val="both"/>
      </w:pPr>
      <w:r>
        <w:t>Sistem koristi Publish–Subscribe obrazac za asinhronu obradu događaja. U aplikacionom sloju, servisi pozivaju DomainEventSubject.NotifyAsync(eventName, payload) nakon ključnih poslovnih operacija (npr. kreiranje zadatka, promena statusa, zaključavanje ploče).</w:t>
      </w:r>
    </w:p>
    <w:p w14:paraId="11969F8B">
      <w:pPr>
        <w:spacing w:before="40" w:after="100"/>
        <w:jc w:val="both"/>
      </w:pPr>
      <w:r>
        <w:t>Registrovani Observer-i reaguju na događaje:</w:t>
      </w:r>
    </w:p>
    <w:p w14:paraId="29B036F5">
      <w:pPr>
        <w:pStyle w:val="23"/>
        <w:numPr>
          <w:ilvl w:val="0"/>
          <w:numId w:val="1"/>
        </w:numPr>
        <w:spacing w:before="40" w:after="60"/>
      </w:pPr>
      <w:r>
        <w:t>RabbitMqDomainEventObserver – serijalizuje događaj i objavljuje ga u domain-events RabbitMQ red sa perzistentnim svojstvima.</w:t>
      </w:r>
    </w:p>
    <w:p w14:paraId="3F195441">
      <w:pPr>
        <w:pStyle w:val="23"/>
        <w:numPr>
          <w:ilvl w:val="0"/>
          <w:numId w:val="1"/>
        </w:numPr>
        <w:spacing w:before="40" w:after="60"/>
      </w:pPr>
      <w:r>
        <w:t>SignalRDomainEventObserver – dostupan kao tačka proširenja za neposredne WebSocket notifikacije.</w:t>
      </w:r>
    </w:p>
    <w:p w14:paraId="58277355">
      <w:pPr>
        <w:spacing w:after="60"/>
      </w:pPr>
    </w:p>
    <w:p w14:paraId="1878D93D">
      <w:pPr>
        <w:spacing w:before="40" w:after="100"/>
        <w:jc w:val="both"/>
      </w:pPr>
      <w:r>
        <w:t>DomainEventConsumerService i UserEventConsumerService su Background servisi koji konzumiraju poruke iz domain-events i user-events redova i perzistiraju ih u domain_event_logs tabelu (audit trail). Poruke sa neispravnim JSON formatom se odbacuju (requeue: false), dok ostale greške izazivaju ponovno stavljanje u red (requeue: true).</w:t>
      </w:r>
    </w:p>
    <w:p w14:paraId="10000029">
      <w:pPr>
        <w:spacing w:before="40" w:after="100"/>
        <w:jc w:val="both"/>
      </w:pPr>
      <w:r>
        <w:t>Zašto je korišten: Servisi ne smiju čekati na obradu svakog domenskog događaja – to bi usporilo HTTP odgovor. Publish–Subscribe odvaja produkciju od konzumpcije i garantuje durabilnost događaja čak i ako konzument privremeno padne.</w:t>
      </w:r>
    </w:p>
    <w:p w14:paraId="1000002A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2B">
      <w:pPr>
        <w:pStyle w:val="23"/>
        <w:numPr>
          <w:ilvl w:val="0"/>
          <w:numId w:val="1"/>
        </w:numPr>
        <w:spacing w:before="40" w:after="60"/>
      </w:pPr>
      <w:r>
        <w:t>Labava sprega između producenta i konzumenta – servis ne zna ko obrađuje događaj.</w:t>
      </w:r>
    </w:p>
    <w:p w14:paraId="1000002C">
      <w:pPr>
        <w:pStyle w:val="23"/>
        <w:numPr>
          <w:ilvl w:val="0"/>
          <w:numId w:val="1"/>
        </w:numPr>
        <w:spacing w:before="40" w:after="60"/>
      </w:pPr>
      <w:r>
        <w:t>Asinhronost – HTTP odgovor se vraća klijentu bez čekanja na obradu događaja.</w:t>
      </w:r>
    </w:p>
    <w:p w14:paraId="1000002D">
      <w:pPr>
        <w:pStyle w:val="23"/>
        <w:numPr>
          <w:ilvl w:val="0"/>
          <w:numId w:val="1"/>
        </w:numPr>
        <w:spacing w:before="40" w:after="60"/>
      </w:pPr>
      <w:r>
        <w:t>Durabilnost – RabbitMQ čuva poruke pri padu servisa (durable queues, persistent messages).</w:t>
      </w:r>
    </w:p>
    <w:p w14:paraId="1000002E">
      <w:pPr>
        <w:pStyle w:val="23"/>
        <w:numPr>
          <w:ilvl w:val="0"/>
          <w:numId w:val="1"/>
        </w:numPr>
        <w:spacing w:before="40" w:after="60"/>
      </w:pPr>
      <w:r>
        <w:t>Automatski audit trail – DomainEventConsumerService persistira sve događaje.</w:t>
      </w:r>
    </w:p>
    <w:p w14:paraId="1000002F">
      <w:pPr>
        <w:pStyle w:val="23"/>
        <w:numPr>
          <w:ilvl w:val="0"/>
          <w:numId w:val="1"/>
        </w:numPr>
        <w:spacing w:before="40" w:after="60"/>
      </w:pPr>
      <w:r>
        <w:t>Lako dodavanje novih konzumenata bez izmjene producenta.</w:t>
      </w:r>
    </w:p>
    <w:p w14:paraId="10000030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31">
      <w:pPr>
        <w:pStyle w:val="23"/>
        <w:numPr>
          <w:ilvl w:val="0"/>
          <w:numId w:val="1"/>
        </w:numPr>
        <w:spacing w:before="40" w:after="60"/>
      </w:pPr>
      <w:r>
        <w:t>Debugovanje distribuiranog sistema složenije nego u sinhronom pristupu.</w:t>
      </w:r>
    </w:p>
    <w:p w14:paraId="10000032">
      <w:pPr>
        <w:pStyle w:val="23"/>
        <w:numPr>
          <w:ilvl w:val="0"/>
          <w:numId w:val="1"/>
        </w:numPr>
        <w:spacing w:before="40" w:after="60"/>
      </w:pPr>
      <w:r>
        <w:t>Redosljed poruka nije garantovan pri paralelnoj obradi.</w:t>
      </w:r>
    </w:p>
    <w:p w14:paraId="10000033">
      <w:pPr>
        <w:pStyle w:val="23"/>
        <w:numPr>
          <w:ilvl w:val="0"/>
          <w:numId w:val="1"/>
        </w:numPr>
        <w:spacing w:before="40" w:after="60"/>
      </w:pPr>
      <w:r>
        <w:t>Potrebna logika ponovnog spajanja i upravljanje vezom ka RabbitMQ brokeru.</w:t>
      </w:r>
    </w:p>
    <w:p w14:paraId="10000034">
      <w:pPr>
        <w:pStyle w:val="23"/>
        <w:numPr>
          <w:ilvl w:val="0"/>
          <w:numId w:val="1"/>
        </w:numPr>
        <w:spacing w:before="40" w:after="60"/>
      </w:pPr>
      <w:r>
        <w:t>Kašnjenje između nastanka događaja i obrade može biti nepredvidivo.</w:t>
      </w:r>
    </w:p>
    <w:p w14:paraId="458B4714">
      <w:pPr>
        <w:pStyle w:val="4"/>
      </w:pPr>
      <w:bookmarkStart w:id="23" w:name="_Toc20843"/>
      <w:r>
        <w:t>3.1.6. State obrazac</w:t>
      </w:r>
      <w:bookmarkEnd w:id="23"/>
    </w:p>
    <w:p w14:paraId="3FEE2FCA">
      <w:pPr>
        <w:spacing w:before="40" w:after="100"/>
        <w:jc w:val="both"/>
      </w:pPr>
      <w:r>
        <w:t>State obrazac se koristi za upravljanje životnim ciklusom radnog zadatka. Svaki WorkItem ima status koji odgovara jednoj od pet implementacija IWorkItemState interfejsa:</w:t>
      </w:r>
    </w:p>
    <w:p w14:paraId="1137DE66">
      <w:pPr>
        <w:pStyle w:val="23"/>
        <w:numPr>
          <w:ilvl w:val="0"/>
          <w:numId w:val="1"/>
        </w:numPr>
        <w:spacing w:before="40" w:after="60"/>
      </w:pPr>
      <w:r>
        <w:t>ToDoState – dozvoljava prelaz samo u InProgress.</w:t>
      </w:r>
    </w:p>
    <w:p w14:paraId="7ADC6E9E">
      <w:pPr>
        <w:pStyle w:val="23"/>
        <w:numPr>
          <w:ilvl w:val="0"/>
          <w:numId w:val="1"/>
        </w:numPr>
        <w:spacing w:before="40" w:after="60"/>
      </w:pPr>
      <w:r>
        <w:t>InProgressState – dozvoljava prelaz u PR ili nazad u ToDo.</w:t>
      </w:r>
    </w:p>
    <w:p w14:paraId="6C3CD04B">
      <w:pPr>
        <w:pStyle w:val="23"/>
        <w:numPr>
          <w:ilvl w:val="0"/>
          <w:numId w:val="1"/>
        </w:numPr>
        <w:spacing w:before="40" w:after="60"/>
      </w:pPr>
      <w:r>
        <w:t>PRState – dozvoljava prelaz u Testing ili nazad u InProgress.</w:t>
      </w:r>
    </w:p>
    <w:p w14:paraId="224277A8">
      <w:pPr>
        <w:pStyle w:val="23"/>
        <w:numPr>
          <w:ilvl w:val="0"/>
          <w:numId w:val="1"/>
        </w:numPr>
        <w:spacing w:before="40" w:after="60"/>
      </w:pPr>
      <w:r>
        <w:t>TestingState – dozvoljava prelaz u Done ili nazad u PR.</w:t>
      </w:r>
    </w:p>
    <w:p w14:paraId="4921E147">
      <w:pPr>
        <w:pStyle w:val="23"/>
        <w:numPr>
          <w:ilvl w:val="0"/>
          <w:numId w:val="1"/>
        </w:numPr>
        <w:spacing w:before="40" w:after="60"/>
      </w:pPr>
      <w:r>
        <w:t>DoneState – ne dozvoljava dalje prelaze (terminalno stanje).</w:t>
      </w:r>
    </w:p>
    <w:p w14:paraId="1995D9BF">
      <w:pPr>
        <w:spacing w:after="60"/>
      </w:pPr>
    </w:p>
    <w:p w14:paraId="7639A8A4">
      <w:pPr>
        <w:spacing w:before="40" w:after="100"/>
        <w:jc w:val="both"/>
      </w:pPr>
      <w:r>
        <w:t>WorkItemStateFactory je Factory klasa koja kreira odgovarajuću implementaciju stanja na osnovu WorkItemStatus enumeracije. ChangeWorkItemStatusCommand enkapsulira logiku promene stanja i poziva CanMoveTo() za validaciju prelaza, čime se sprečava izvršavanje nevalidnih operacija.</w:t>
      </w:r>
    </w:p>
    <w:p w14:paraId="10000035">
      <w:pPr>
        <w:spacing w:before="40" w:after="100"/>
        <w:jc w:val="both"/>
      </w:pPr>
      <w:r>
        <w:t>Zašto je korišten: Validacija tranzicija statusa WorkItem-a bez State obrasca bila bi kompleksna if/else logika unutar WorkItemService. State obrazac enkapsulira logiku svakog stanja u posebnu klasu, što dodavanje novog stanja čini izmjenom jedne klase bez ut</w:t>
      </w:r>
      <w:r>
        <w:rPr>
          <w:rFonts w:hint="default"/>
          <w:lang w:val="en-US"/>
        </w:rPr>
        <w:t>i</w:t>
      </w:r>
      <w:r>
        <w:t>caja na ostale.</w:t>
      </w:r>
    </w:p>
    <w:p w14:paraId="10000036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37">
      <w:pPr>
        <w:pStyle w:val="23"/>
        <w:numPr>
          <w:ilvl w:val="0"/>
          <w:numId w:val="1"/>
        </w:numPr>
        <w:spacing w:before="40" w:after="60"/>
      </w:pPr>
      <w:r>
        <w:t>Jasno definisani dozvoljeni prelazi – svako stanje zna samo šta sme.</w:t>
      </w:r>
    </w:p>
    <w:p w14:paraId="10000038">
      <w:pPr>
        <w:pStyle w:val="23"/>
        <w:numPr>
          <w:ilvl w:val="0"/>
          <w:numId w:val="1"/>
        </w:numPr>
        <w:spacing w:before="40" w:after="60"/>
      </w:pPr>
      <w:r>
        <w:t>Eliminira kompleksne if/else lance u WorkItemService.ChangeStatus metodi.</w:t>
      </w:r>
    </w:p>
    <w:p w14:paraId="10000039">
      <w:pPr>
        <w:pStyle w:val="23"/>
        <w:numPr>
          <w:ilvl w:val="0"/>
          <w:numId w:val="1"/>
        </w:numPr>
        <w:spacing w:before="40" w:after="60"/>
      </w:pPr>
      <w:r>
        <w:t>Dodavanje novog stanja ne menja postojeće State klase (Open/Closed princip).</w:t>
      </w:r>
    </w:p>
    <w:p w14:paraId="1000003A">
      <w:pPr>
        <w:pStyle w:val="23"/>
        <w:numPr>
          <w:ilvl w:val="0"/>
          <w:numId w:val="1"/>
        </w:numPr>
        <w:spacing w:before="40" w:after="60"/>
      </w:pPr>
      <w:r>
        <w:t>DoneState kao terminalno stanje garantovano bez posebnih uslova.</w:t>
      </w:r>
    </w:p>
    <w:p w14:paraId="1000003B">
      <w:pPr>
        <w:pStyle w:val="23"/>
        <w:numPr>
          <w:ilvl w:val="0"/>
          <w:numId w:val="1"/>
        </w:numPr>
        <w:spacing w:before="40" w:after="60"/>
      </w:pPr>
      <w:r>
        <w:t>WorkItemStateFactory centralizuje kreiranje – nema direktnog instanciranja State klasa.</w:t>
      </w:r>
    </w:p>
    <w:p w14:paraId="1000003C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3D">
      <w:pPr>
        <w:pStyle w:val="23"/>
        <w:numPr>
          <w:ilvl w:val="0"/>
          <w:numId w:val="1"/>
        </w:numPr>
        <w:spacing w:before="40" w:after="60"/>
      </w:pPr>
      <w:r>
        <w:t>Pet posebnih klasa za relativno jednostavnu logiku prelaza može izgledati preterano.</w:t>
      </w:r>
    </w:p>
    <w:p w14:paraId="1000003E">
      <w:pPr>
        <w:pStyle w:val="23"/>
        <w:numPr>
          <w:ilvl w:val="0"/>
          <w:numId w:val="1"/>
        </w:numPr>
        <w:spacing w:before="40" w:after="60"/>
      </w:pPr>
      <w:r>
        <w:t>Factory uz State dodaje dodatni nivo apstrakcije i povećava broj fajlova.</w:t>
      </w:r>
    </w:p>
    <w:p w14:paraId="1000003F">
      <w:pPr>
        <w:pStyle w:val="23"/>
        <w:numPr>
          <w:ilvl w:val="0"/>
          <w:numId w:val="1"/>
        </w:numPr>
        <w:spacing w:before="40" w:after="60"/>
      </w:pPr>
      <w:r>
        <w:t>Stanja su stateless – ne čuvaju istoriju prelaza što može biti ograničenje.</w:t>
      </w:r>
    </w:p>
    <w:p w14:paraId="51CAE7D8">
      <w:pPr>
        <w:pStyle w:val="4"/>
      </w:pPr>
      <w:bookmarkStart w:id="24" w:name="_Toc7650"/>
      <w:r>
        <w:t>3.1.7. Observer obrazac</w:t>
      </w:r>
      <w:bookmarkEnd w:id="24"/>
    </w:p>
    <w:p w14:paraId="2267DCCE">
      <w:pPr>
        <w:spacing w:before="40" w:after="100"/>
        <w:jc w:val="both"/>
      </w:pPr>
      <w:r>
        <w:t>Observer obrazac je implementiran kroz DomainEventSubject klasu koja drži listu IDomainEventObserver implementacija. Registrovana su dva konkretna Observer-a: RabbitMqDomainEventObserver serijalizuje domenski događaj i objavljuje ga u RabbitMQ red sa perzistentnim svojstvima; SignalRDomainEventObserver je trenutno implementiran kao stub (prazna klasa) i ne sadrži logiku – objašnjenje u napomeni ispod. Observer-i se registruju kroz Dependency Injection kontejner, čime se postiže labava sprega između domena i infrastrukturnih tehnologija.</w:t>
      </w:r>
    </w:p>
    <w:p w14:paraId="10000040">
      <w:pPr>
        <w:spacing w:before="40" w:after="100"/>
        <w:jc w:val="both"/>
      </w:pPr>
      <w:r>
        <w:t>Napomena – SignalRDomainEventObserver: Ovaj Observer je namerno ostavljen prazan u trenutnoj verziji sistema. Razlog je arhitekturna odluka da se neposredne SignalR notifikacije šalju direktno kroz INotificationService (SignalRNotificationService) iz aplikacionih servisa, jer taj pristup omogućava precizno ciljanje konkretnih korisnika (SendToUserAsync) s punim kontekstom operacije. SignalRDomainEventObserver je registrovan kao tačka proširenja za buduće iteracije – u njemu bi se implementirao broadcast domenskih događaja prema svim korisnicima radnog prostora bez potrebe da svaki servis eksplicitno poziva INotificationService. Ovo je primjer Open/Closed principa: proširenje se postiže dodavanjem logike ovom Observer-u bez izmjene postojećih servisa.</w:t>
      </w:r>
    </w:p>
    <w:p w14:paraId="10000041">
      <w:pPr>
        <w:spacing w:before="40" w:after="100"/>
        <w:jc w:val="both"/>
      </w:pPr>
      <w:r>
        <w:t>Zašto je korišten: Domenski sloj ne smije direktno zavisiti od infrastrukturnih tehnologija (RabbitMQ, SignalR). Observer obrazac omogućava da DomainEventSubject notifikuje Observer-e bez znanja o tome kako oni obrađuju događaj.</w:t>
      </w:r>
    </w:p>
    <w:p w14:paraId="10000042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43">
      <w:pPr>
        <w:pStyle w:val="23"/>
        <w:numPr>
          <w:ilvl w:val="0"/>
          <w:numId w:val="1"/>
        </w:numPr>
        <w:spacing w:before="40" w:after="60"/>
      </w:pPr>
      <w:r>
        <w:t>Labava sprega između domenskog i infrastrukturnog sloja.</w:t>
      </w:r>
    </w:p>
    <w:p w14:paraId="10000044">
      <w:pPr>
        <w:pStyle w:val="23"/>
        <w:numPr>
          <w:ilvl w:val="0"/>
          <w:numId w:val="1"/>
        </w:numPr>
        <w:spacing w:before="40" w:after="60"/>
      </w:pPr>
      <w:r>
        <w:t>Dodavanje novog Observer-a (npr. email notifikacije) ne menja nijedan servis.</w:t>
      </w:r>
    </w:p>
    <w:p w14:paraId="10000045">
      <w:pPr>
        <w:pStyle w:val="23"/>
        <w:numPr>
          <w:ilvl w:val="0"/>
          <w:numId w:val="1"/>
        </w:numPr>
        <w:spacing w:before="40" w:after="60"/>
      </w:pPr>
      <w:r>
        <w:t>DI kontejner automatski ubacuje sve registrovane Observer-e – nema ručnog upravljanja.</w:t>
      </w:r>
    </w:p>
    <w:p w14:paraId="10000046">
      <w:pPr>
        <w:pStyle w:val="23"/>
        <w:numPr>
          <w:ilvl w:val="0"/>
          <w:numId w:val="1"/>
        </w:numPr>
        <w:spacing w:before="40" w:after="60"/>
      </w:pPr>
      <w:r>
        <w:t>Lako testiranje: servis se testira s mock DomainEventSubject-om.</w:t>
      </w:r>
    </w:p>
    <w:p w14:paraId="10000047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48">
      <w:pPr>
        <w:pStyle w:val="23"/>
        <w:numPr>
          <w:ilvl w:val="0"/>
          <w:numId w:val="1"/>
        </w:numPr>
        <w:spacing w:before="40" w:after="60"/>
      </w:pPr>
      <w:r>
        <w:t>Redosled poziva Observer-a nije garantovan što može uzrokovati neočekivano ponašanje.</w:t>
      </w:r>
    </w:p>
    <w:p w14:paraId="10000049">
      <w:pPr>
        <w:pStyle w:val="23"/>
        <w:numPr>
          <w:ilvl w:val="0"/>
          <w:numId w:val="1"/>
        </w:numPr>
        <w:spacing w:before="40" w:after="60"/>
      </w:pPr>
      <w:r>
        <w:t>Greška u jednom Observer-u prekida NotifyAsync petlju za sve preostale Observer-e.</w:t>
      </w:r>
    </w:p>
    <w:p w14:paraId="1000004A">
      <w:pPr>
        <w:pStyle w:val="23"/>
        <w:numPr>
          <w:ilvl w:val="0"/>
          <w:numId w:val="1"/>
        </w:numPr>
        <w:spacing w:before="40" w:after="60"/>
      </w:pPr>
      <w:r>
        <w:t>SignalRDomainEventObserver je trenutno stub – može zbuniti developera koji pregleda kod.</w:t>
      </w:r>
    </w:p>
    <w:p w14:paraId="655C13E5">
      <w:pPr>
        <w:pStyle w:val="4"/>
      </w:pPr>
      <w:bookmarkStart w:id="25" w:name="_Toc31882"/>
      <w:r>
        <w:t>3.1.8. Command obrazac</w:t>
      </w:r>
      <w:bookmarkEnd w:id="25"/>
    </w:p>
    <w:p w14:paraId="0443242E">
      <w:pPr>
        <w:spacing w:before="40" w:after="100"/>
        <w:jc w:val="both"/>
      </w:pPr>
      <w:r>
        <w:t>Command obrazac je implementiran kroz ICommand&lt;TResult&gt; interfejs i CommandInvoker klasu. Konkretne Command implementacije enkapsuliraju složene poslovne operacije:</w:t>
      </w:r>
    </w:p>
    <w:p w14:paraId="7403DB46">
      <w:pPr>
        <w:pStyle w:val="23"/>
        <w:numPr>
          <w:ilvl w:val="0"/>
          <w:numId w:val="1"/>
        </w:numPr>
        <w:spacing w:before="40" w:after="60"/>
      </w:pPr>
      <w:r>
        <w:t>CreateWorkItemCommand – kreiranje zadatka uz validaciju članstva i emitovanje događaja.</w:t>
      </w:r>
    </w:p>
    <w:p w14:paraId="324307C2">
      <w:pPr>
        <w:pStyle w:val="23"/>
        <w:numPr>
          <w:ilvl w:val="0"/>
          <w:numId w:val="1"/>
        </w:numPr>
        <w:spacing w:before="40" w:after="60"/>
      </w:pPr>
      <w:r>
        <w:t>ChangeWorkItemStatusCommand – promena statusa uz validaciju State prelaza.</w:t>
      </w:r>
    </w:p>
    <w:p w14:paraId="4CF03F1A">
      <w:pPr>
        <w:pStyle w:val="23"/>
        <w:numPr>
          <w:ilvl w:val="0"/>
          <w:numId w:val="1"/>
        </w:numPr>
        <w:spacing w:before="40" w:after="60"/>
      </w:pPr>
      <w:r>
        <w:t>AddCommentCommand, CreateSubWorkItemCommand, AddWorkItemFileCommand, DeleteWorkItemFileCommand, ChangeSubWorkItemStatusCommand – ostale operacije nad zadatkom.</w:t>
      </w:r>
    </w:p>
    <w:p w14:paraId="485CACFA">
      <w:pPr>
        <w:spacing w:after="60"/>
      </w:pPr>
    </w:p>
    <w:p w14:paraId="200235A8">
      <w:pPr>
        <w:spacing w:before="40" w:after="100"/>
        <w:jc w:val="both"/>
      </w:pPr>
      <w:r>
        <w:t>CommandInvoker.ExecuteAsync&lt;TResult&gt;(command) centralizuje pozivanje komandi, što omogućava buduće proširenje sa cross-cutting concerns (logging, retry, audit) bez izmene samih komandi.</w:t>
      </w:r>
    </w:p>
    <w:p w14:paraId="1000004B">
      <w:pPr>
        <w:spacing w:before="40" w:after="100"/>
        <w:jc w:val="both"/>
      </w:pPr>
      <w:r>
        <w:t>Zašto je korišten: Enkapsulacija poslovnih operacija kao objekata omogućava da CommandInvoker bude centralna tačka za dodavanje cross-cutting concerns (logging, retry, audit) bez izmene servisa. Svaka komanda jasno definiše 'šta se radi', odvojeno od 'kako se poziva'.</w:t>
      </w:r>
    </w:p>
    <w:p w14:paraId="1000004C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4D">
      <w:pPr>
        <w:pStyle w:val="23"/>
        <w:numPr>
          <w:ilvl w:val="0"/>
          <w:numId w:val="1"/>
        </w:numPr>
        <w:spacing w:before="40" w:after="60"/>
      </w:pPr>
      <w:r>
        <w:t>CommandInvoker je centralna tačka proširenja za logging, retry i audit trail.</w:t>
      </w:r>
    </w:p>
    <w:p w14:paraId="1000004E">
      <w:pPr>
        <w:pStyle w:val="23"/>
        <w:numPr>
          <w:ilvl w:val="0"/>
          <w:numId w:val="1"/>
        </w:numPr>
        <w:spacing w:before="40" w:after="60"/>
      </w:pPr>
      <w:r>
        <w:t>Svaka operacija je imenovana komanda (CreateWorkItemCommand) što poboljšava čitljivost.</w:t>
      </w:r>
    </w:p>
    <w:p w14:paraId="1000004F">
      <w:pPr>
        <w:pStyle w:val="23"/>
        <w:numPr>
          <w:ilvl w:val="0"/>
          <w:numId w:val="1"/>
        </w:numPr>
        <w:spacing w:before="40" w:after="60"/>
      </w:pPr>
      <w:r>
        <w:t>Lako dodavanje novih komandi bez izmjene CommandInvoker-a.</w:t>
      </w:r>
    </w:p>
    <w:p w14:paraId="10000050">
      <w:pPr>
        <w:pStyle w:val="23"/>
        <w:numPr>
          <w:ilvl w:val="0"/>
          <w:numId w:val="1"/>
        </w:numPr>
        <w:spacing w:before="40" w:after="60"/>
      </w:pPr>
      <w:r>
        <w:t>Prirodna podrška za budući undo/redo mehanizam.</w:t>
      </w:r>
    </w:p>
    <w:p w14:paraId="10000051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52">
      <w:pPr>
        <w:pStyle w:val="23"/>
        <w:numPr>
          <w:ilvl w:val="0"/>
          <w:numId w:val="1"/>
        </w:numPr>
        <w:spacing w:before="40" w:after="60"/>
      </w:pPr>
      <w:r>
        <w:t>Trenutne implementacije su tanki omotači (thin wrappers) oko lambda funkcija – stvarna logika je unutar lambda a ne u Command klasi, što slabi semantiku obrasca.</w:t>
      </w:r>
    </w:p>
    <w:p w14:paraId="10000053">
      <w:pPr>
        <w:pStyle w:val="23"/>
        <w:numPr>
          <w:ilvl w:val="0"/>
          <w:numId w:val="1"/>
        </w:numPr>
        <w:spacing w:before="40" w:after="60"/>
      </w:pPr>
      <w:r>
        <w:t>CommandInvoker.ExecuteAsync nema nikakvu dodatnu logiku u trenutnoj implementaciji, što može izgledati kao over-engineering dok se ne doda cross-cutting funkcionalnost.</w:t>
      </w:r>
    </w:p>
    <w:p w14:paraId="10000054">
      <w:pPr>
        <w:pStyle w:val="23"/>
        <w:numPr>
          <w:ilvl w:val="0"/>
          <w:numId w:val="1"/>
        </w:numPr>
        <w:spacing w:before="40" w:after="60"/>
      </w:pPr>
      <w:r>
        <w:t>Petnaest komandi identične strukture povećava broj fajlova bez proporcionalne koristi u ovom stadiju razvoja.</w:t>
      </w:r>
    </w:p>
    <w:p w14:paraId="726B598E">
      <w:pPr>
        <w:pStyle w:val="4"/>
      </w:pPr>
      <w:bookmarkStart w:id="26" w:name="_Toc2141"/>
      <w:r>
        <w:t>3.1.9. Factory obrazac</w:t>
      </w:r>
      <w:bookmarkEnd w:id="26"/>
    </w:p>
    <w:p w14:paraId="74E0C0BB">
      <w:pPr>
        <w:spacing w:before="40" w:after="100"/>
        <w:jc w:val="both"/>
      </w:pPr>
      <w:r>
        <w:t>Factory obrazac se koristi za centralizovano kreiranje odgovarajućeg stanja zadatka. WorkItemStateFactory.Create(WorkItemStatus) vraća konkretnu IWorkItemState implementaciju na osnovu trenutnog statusa, što sprečava direktno instanciranje State klasa van fabrike i osigurava konzistentnost početnog stanja.</w:t>
      </w:r>
    </w:p>
    <w:p w14:paraId="20000002">
      <w:pPr>
        <w:spacing w:before="40" w:after="100"/>
        <w:jc w:val="both"/>
      </w:pPr>
      <w:r>
        <w:t>Zašto je korišten: Kreiranje ispravnog IWorkItemState objekta na osnovu WorkItemStatus enumeracije nije odgovornost servisa. WorkItemStateFactory centralizuje ovu logiku i osigurava da svaka vrednost enumeracije uvek bude mapirana na odgovarajuću State klasu.</w:t>
      </w:r>
    </w:p>
    <w:p w14:paraId="20000003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20000004">
      <w:pPr>
        <w:pStyle w:val="23"/>
        <w:numPr>
          <w:ilvl w:val="0"/>
          <w:numId w:val="1"/>
        </w:numPr>
        <w:spacing w:before="40" w:after="60"/>
      </w:pPr>
      <w:r>
        <w:t>Centralizovano kreiranje State objekata – izmena mapiranja na jednom mestu.</w:t>
      </w:r>
    </w:p>
    <w:p w14:paraId="20000005">
      <w:pPr>
        <w:pStyle w:val="23"/>
        <w:numPr>
          <w:ilvl w:val="0"/>
          <w:numId w:val="1"/>
        </w:numPr>
        <w:spacing w:before="40" w:after="60"/>
      </w:pPr>
      <w:r>
        <w:t>Switch expression s throw na nepoznatom statusu garantuje kompajler-time sigurnost.</w:t>
      </w:r>
    </w:p>
    <w:p w14:paraId="20000006">
      <w:pPr>
        <w:pStyle w:val="23"/>
        <w:numPr>
          <w:ilvl w:val="0"/>
          <w:numId w:val="1"/>
        </w:numPr>
        <w:spacing w:before="40" w:after="60"/>
      </w:pPr>
      <w:r>
        <w:t>Sprečava direktno instanciranje State klasa van fabrike.</w:t>
      </w:r>
    </w:p>
    <w:p w14:paraId="20000007">
      <w:pPr>
        <w:pStyle w:val="23"/>
        <w:numPr>
          <w:ilvl w:val="0"/>
          <w:numId w:val="1"/>
        </w:numPr>
        <w:spacing w:before="40" w:after="60"/>
      </w:pPr>
      <w:r>
        <w:t>Jasna separacija odgovornosti: servis traži stanje, fabrika ga kreira.</w:t>
      </w:r>
    </w:p>
    <w:p w14:paraId="20000008">
      <w:pPr>
        <w:spacing w:before="100" w:after="40"/>
        <w:jc w:val="both"/>
      </w:pPr>
      <w:r>
        <w:rPr>
          <w:b/>
          <w:color w:val="2E4A6B"/>
        </w:rPr>
        <w:t>Mane:</w:t>
      </w:r>
    </w:p>
    <w:p w14:paraId="20000009">
      <w:pPr>
        <w:pStyle w:val="23"/>
        <w:numPr>
          <w:ilvl w:val="0"/>
          <w:numId w:val="1"/>
        </w:numPr>
        <w:spacing w:before="40" w:after="60"/>
      </w:pPr>
      <w:r>
        <w:t>Statička klasa ne može se lako mockati u unit testovima bez dodatnih apstrakcija.</w:t>
      </w:r>
    </w:p>
    <w:p w14:paraId="2000000A">
      <w:pPr>
        <w:pStyle w:val="23"/>
        <w:numPr>
          <w:ilvl w:val="0"/>
          <w:numId w:val="1"/>
        </w:numPr>
        <w:spacing w:before="40" w:after="60"/>
      </w:pPr>
      <w:r>
        <w:t>Relativno jednostavna logika (switch expression) možda ne opravdava posebnu klasu u jednostavnijim domenima.</w:t>
      </w:r>
    </w:p>
    <w:p w14:paraId="06633891">
      <w:pPr>
        <w:pStyle w:val="4"/>
      </w:pPr>
      <w:bookmarkStart w:id="27" w:name="_Toc20913"/>
      <w:r>
        <w:t>3.1.10. Pesimističko zaključavanje</w:t>
      </w:r>
      <w:bookmarkEnd w:id="27"/>
    </w:p>
    <w:p w14:paraId="14BFE891">
      <w:pPr>
        <w:spacing w:before="40" w:after="100"/>
        <w:jc w:val="both"/>
      </w:pPr>
      <w:r>
        <w:t>Sistem implementira pesimističko zaključavanje na dva nivoa:</w:t>
      </w:r>
    </w:p>
    <w:p w14:paraId="0870F90E">
      <w:pPr>
        <w:pStyle w:val="23"/>
        <w:numPr>
          <w:ilvl w:val="0"/>
          <w:numId w:val="1"/>
        </w:numPr>
        <w:spacing w:before="40" w:after="60"/>
      </w:pPr>
      <w:r>
        <w:t>Board Lock – ekskluzivno zaključavanje ploče sa TTL-om od 30 sekundi. Korisnik koji otvori ploču dobija WRITE pristup. Ostali korisnici se upisuju u board_lock_queue (FIFO red) i dobijaju READ pristup. Automatska promocija prvog u redu čekanja dešava se kada ključ istekne ili ga vlasnik otpusti. IBoardLockPromotionService razdvaja logiku promocije od IBoardLockService (ISP princip).</w:t>
      </w:r>
    </w:p>
    <w:p w14:paraId="5F69C3E0">
      <w:pPr>
        <w:pStyle w:val="23"/>
        <w:numPr>
          <w:ilvl w:val="0"/>
          <w:numId w:val="1"/>
        </w:numPr>
        <w:spacing w:before="40" w:after="60"/>
      </w:pPr>
      <w:r>
        <w:t>Work Item Lock – ekskluzivno zaključavanje zadatka sa TTL-om od 30 sekundi. Sistem prati zainteresovane korisnike (work_item_lock_interests) koji žele zaključati zadatak. BoardLockExpiryService i WorkItemLockExpiryService su Background servisi koji periodično brišu istekle ključeve.</w:t>
      </w:r>
    </w:p>
    <w:p w14:paraId="2000000B">
      <w:pPr>
        <w:spacing w:before="40" w:after="100"/>
        <w:jc w:val="both"/>
      </w:pPr>
      <w:r>
        <w:t>Zašto je korišten: Simultano uređivanje iste ploče ili zadatka bez mehanizma zaključavanja vodilo bi do konfliktnih izmjena i izgubljenih podataka. Pesimistički pristup je izabran jer su konflikti u ovom domenu česti i skupi za razrešavanje post factum.</w:t>
      </w:r>
    </w:p>
    <w:p w14:paraId="2000000C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2000000D">
      <w:pPr>
        <w:pStyle w:val="23"/>
        <w:numPr>
          <w:ilvl w:val="0"/>
          <w:numId w:val="1"/>
        </w:numPr>
        <w:spacing w:before="40" w:after="60"/>
      </w:pPr>
      <w:r>
        <w:t>Garantuje ekskluzivan pristup – nema konfliktnih izmena ni potrebe za merge-om.</w:t>
      </w:r>
    </w:p>
    <w:p w14:paraId="2000000E">
      <w:pPr>
        <w:pStyle w:val="23"/>
        <w:numPr>
          <w:ilvl w:val="0"/>
          <w:numId w:val="1"/>
        </w:numPr>
        <w:spacing w:before="40" w:after="60"/>
      </w:pPr>
      <w:r>
        <w:t>FIFO red čekanja (board_lock_queue) je pošten prema svim korisnicima.</w:t>
      </w:r>
    </w:p>
    <w:p w14:paraId="2000000F">
      <w:pPr>
        <w:pStyle w:val="23"/>
        <w:numPr>
          <w:ilvl w:val="0"/>
          <w:numId w:val="1"/>
        </w:numPr>
        <w:spacing w:before="40" w:after="60"/>
      </w:pPr>
      <w:r>
        <w:t>TTL od 30 sekundi sprečava trajno blokiranje pri padu klijenta.</w:t>
      </w:r>
    </w:p>
    <w:p w14:paraId="20000010">
      <w:pPr>
        <w:pStyle w:val="23"/>
        <w:numPr>
          <w:ilvl w:val="0"/>
          <w:numId w:val="1"/>
        </w:numPr>
        <w:spacing w:before="40" w:after="60"/>
      </w:pPr>
      <w:r>
        <w:t>Background servisi automatski obnavljaju konzistentnost bez intervencije korisnika.</w:t>
      </w:r>
    </w:p>
    <w:p w14:paraId="20000011">
      <w:pPr>
        <w:pStyle w:val="23"/>
        <w:numPr>
          <w:ilvl w:val="0"/>
          <w:numId w:val="1"/>
        </w:numPr>
        <w:spacing w:before="40" w:after="60"/>
      </w:pPr>
      <w:r>
        <w:t>IBoardLockPromotionService i IWorkItemLockExpiryService razdvajaju odgovornosti (ISP princip).</w:t>
      </w:r>
    </w:p>
    <w:p w14:paraId="20000012">
      <w:pPr>
        <w:spacing w:before="100" w:after="40"/>
        <w:jc w:val="both"/>
      </w:pPr>
      <w:r>
        <w:rPr>
          <w:b/>
          <w:color w:val="2E4A6B"/>
        </w:rPr>
        <w:t>Mane:</w:t>
      </w:r>
    </w:p>
    <w:p w14:paraId="20000013">
      <w:pPr>
        <w:pStyle w:val="23"/>
        <w:numPr>
          <w:ilvl w:val="0"/>
          <w:numId w:val="1"/>
        </w:numPr>
        <w:spacing w:before="40" w:after="60"/>
      </w:pPr>
      <w:r>
        <w:t>Smanjuje konkurentnost – samo jedan korisnik može uređivati ploču/zadatak istovremeno.</w:t>
      </w:r>
    </w:p>
    <w:p w14:paraId="20000014">
      <w:pPr>
        <w:pStyle w:val="23"/>
        <w:numPr>
          <w:ilvl w:val="0"/>
          <w:numId w:val="1"/>
        </w:numPr>
        <w:spacing w:before="40" w:after="60"/>
      </w:pPr>
      <w:r>
        <w:t>TTL od 30 sekundi može biti prekratak za složenije operacije.</w:t>
      </w:r>
    </w:p>
    <w:p w14:paraId="20000015">
      <w:pPr>
        <w:pStyle w:val="23"/>
        <w:numPr>
          <w:ilvl w:val="0"/>
          <w:numId w:val="1"/>
        </w:numPr>
        <w:spacing w:before="40" w:after="60"/>
      </w:pPr>
      <w:r>
        <w:t>Background servisi za istek zaključavanja dodaju operativnu kompleksnost.</w:t>
      </w:r>
    </w:p>
    <w:p w14:paraId="20000016">
      <w:pPr>
        <w:pStyle w:val="23"/>
        <w:numPr>
          <w:ilvl w:val="0"/>
          <w:numId w:val="1"/>
        </w:numPr>
        <w:spacing w:before="40" w:after="60"/>
      </w:pPr>
      <w:r>
        <w:t>Race condition zaštita kroz hvatanje DbUpdateConcurrencyException povećava složenost koda.</w:t>
      </w:r>
    </w:p>
    <w:p w14:paraId="20000017">
      <w:pPr>
        <w:pStyle w:val="23"/>
        <w:numPr>
          <w:ilvl w:val="0"/>
          <w:numId w:val="1"/>
        </w:numPr>
        <w:spacing w:before="40" w:after="60"/>
      </w:pPr>
      <w:r>
        <w:t>BoardLock nije integrisan na Angular klijentskoj strani – frontend ne poziva POST /api/board-locks/open/{boardId} endpoint u trenutnoj verziji (planirana funkcionalnost).</w:t>
      </w:r>
    </w:p>
    <w:p w14:paraId="077046E4">
      <w:pPr>
        <w:pStyle w:val="3"/>
      </w:pPr>
      <w:bookmarkStart w:id="28" w:name="_Toc17082"/>
      <w:r>
        <w:t>3.2. Generalna arhitektura sistema</w:t>
      </w:r>
      <w:bookmarkEnd w:id="28"/>
    </w:p>
    <w:p w14:paraId="3470CDF7">
      <w:pPr>
        <w:spacing w:before="40" w:after="100"/>
        <w:jc w:val="both"/>
      </w:pPr>
      <w:r>
        <w:t>Generalna arhitektura sistema prikazana je box-line dijagramom koji ilustruje osnovne komponente sistema i njihove međusobne komunikacije.</w:t>
      </w:r>
    </w:p>
    <w:p w14:paraId="0826EC16">
      <w:pPr>
        <w:spacing w:before="40" w:after="100"/>
        <w:jc w:val="both"/>
      </w:pPr>
      <w:r>
        <w:t>Angular klijentska aplikacija komunicira sa serverskom stranom sinhrono putem HTTP/REST interfejsa za standardne CRUD operacije i asinhrono putem WebSocket/SignalR protokola za real-time notifikacije. ASP.NET Core backend prihvata zahteve kroz kontrolere i SignalR Hub, delegira ih aplikacionim servisima koji koriste EF Core repozitorijume za pristup PostgreSQL bazi. Domenske događaje objavljuje u RabbitMQ kroz Observer patern. Background servisi konzumiraju poruke iz RabbitMQ redova.</w:t>
      </w:r>
    </w:p>
    <w:p w14:paraId="61B8F5ED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88"/>
      </w:tblGrid>
      <w:tr w14:paraId="49FF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A5A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510530" cy="4443730"/>
                  <wp:effectExtent l="0" t="0" r="6350" b="6350"/>
                  <wp:docPr id="2" name="Picture 2" descr="Verta_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Verta_Architectur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530" cy="444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4C19C">
      <w:pPr>
        <w:spacing w:after="60"/>
      </w:pPr>
    </w:p>
    <w:p w14:paraId="610D166F">
      <w:pPr>
        <w:spacing w:before="40" w:after="100"/>
        <w:jc w:val="center"/>
      </w:pPr>
      <w:r>
        <w:rPr>
          <w:i/>
          <w:iCs/>
          <w:color w:val="666666"/>
        </w:rPr>
        <w:t>Slika 1 – Dijagram generalne arhitekture sistema</w:t>
      </w:r>
    </w:p>
    <w:p w14:paraId="580BDE57">
      <w:pPr>
        <w:pStyle w:val="3"/>
      </w:pPr>
    </w:p>
    <w:p w14:paraId="6B556A49">
      <w:pPr>
        <w:pStyle w:val="3"/>
      </w:pPr>
    </w:p>
    <w:p w14:paraId="2C45DFAD">
      <w:pPr>
        <w:pStyle w:val="3"/>
      </w:pPr>
    </w:p>
    <w:p w14:paraId="464EA917">
      <w:pPr>
        <w:pStyle w:val="3"/>
      </w:pPr>
    </w:p>
    <w:p w14:paraId="53133CD6">
      <w:pPr>
        <w:pStyle w:val="3"/>
      </w:pPr>
    </w:p>
    <w:p w14:paraId="50D467DB">
      <w:pPr>
        <w:pStyle w:val="3"/>
      </w:pPr>
    </w:p>
    <w:p w14:paraId="57D0AA94">
      <w:pPr>
        <w:pStyle w:val="3"/>
      </w:pPr>
    </w:p>
    <w:p w14:paraId="64D271E6">
      <w:pPr>
        <w:pStyle w:val="3"/>
      </w:pPr>
    </w:p>
    <w:p w14:paraId="52AB44CC">
      <w:pPr>
        <w:pStyle w:val="3"/>
      </w:pPr>
    </w:p>
    <w:p w14:paraId="10D66B16">
      <w:pPr>
        <w:pStyle w:val="3"/>
      </w:pPr>
    </w:p>
    <w:p w14:paraId="38EC008D">
      <w:pPr>
        <w:pStyle w:val="3"/>
      </w:pPr>
      <w:bookmarkStart w:id="29" w:name="_Toc3647"/>
      <w:r>
        <w:t>3.3. Strukturni pogledi</w:t>
      </w:r>
      <w:bookmarkEnd w:id="29"/>
    </w:p>
    <w:p w14:paraId="464DC80B">
      <w:pPr>
        <w:spacing w:before="40" w:after="100"/>
        <w:jc w:val="both"/>
        <w:rPr>
          <w:rFonts w:hint="default"/>
          <w:lang w:val="en-US"/>
        </w:rPr>
      </w:pPr>
      <w:r>
        <w:t xml:space="preserve">Strukturni pogled sistema prikazan je UML </w:t>
      </w:r>
      <w:r>
        <w:rPr>
          <w:rFonts w:hint="default"/>
          <w:lang w:val="en-US"/>
        </w:rPr>
        <w:t>dijagramom klasa domenskog modela.</w:t>
      </w:r>
    </w:p>
    <w:p w14:paraId="4E0F130F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C0A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530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65445" cy="4834255"/>
                  <wp:effectExtent l="0" t="0" r="5715" b="12065"/>
                  <wp:docPr id="1" name="Picture 1" descr="VERTA_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A_~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483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97306">
      <w:pPr>
        <w:spacing w:after="60"/>
      </w:pPr>
    </w:p>
    <w:p w14:paraId="21928432">
      <w:pPr>
        <w:spacing w:before="40" w:after="100"/>
        <w:jc w:val="center"/>
        <w:rPr>
          <w:rFonts w:hint="default"/>
          <w:lang w:val="en-US"/>
        </w:rPr>
      </w:pPr>
      <w:r>
        <w:rPr>
          <w:i/>
          <w:iCs/>
          <w:color w:val="666666"/>
        </w:rPr>
        <w:t xml:space="preserve">Slika 2 – </w:t>
      </w:r>
      <w:r>
        <w:rPr>
          <w:rFonts w:hint="default"/>
          <w:i/>
          <w:iCs/>
          <w:color w:val="666666"/>
          <w:lang w:val="en-US"/>
        </w:rPr>
        <w:t>UML dijagram klasa domenskog modela</w:t>
      </w:r>
    </w:p>
    <w:p w14:paraId="2FFCCF7D">
      <w:pPr>
        <w:pStyle w:val="3"/>
      </w:pPr>
    </w:p>
    <w:p w14:paraId="032FC79C">
      <w:pPr>
        <w:pStyle w:val="3"/>
      </w:pPr>
    </w:p>
    <w:p w14:paraId="5AD42EEC">
      <w:pPr>
        <w:pStyle w:val="3"/>
      </w:pPr>
    </w:p>
    <w:p w14:paraId="0E9B2842">
      <w:pPr>
        <w:pStyle w:val="3"/>
      </w:pPr>
    </w:p>
    <w:p w14:paraId="34479382">
      <w:pPr>
        <w:pStyle w:val="3"/>
      </w:pPr>
    </w:p>
    <w:p w14:paraId="2E4689EA">
      <w:pPr>
        <w:pStyle w:val="3"/>
      </w:pPr>
    </w:p>
    <w:p w14:paraId="3BA79DAB">
      <w:pPr>
        <w:pStyle w:val="3"/>
      </w:pPr>
    </w:p>
    <w:p w14:paraId="0DA78F3C">
      <w:pPr>
        <w:pStyle w:val="3"/>
      </w:pPr>
      <w:bookmarkStart w:id="30" w:name="_Toc32452"/>
      <w:r>
        <w:t>3.4. Bihejvioralni pogledi</w:t>
      </w:r>
      <w:bookmarkEnd w:id="30"/>
    </w:p>
    <w:p w14:paraId="3F489300">
      <w:pPr>
        <w:pStyle w:val="4"/>
      </w:pPr>
      <w:bookmarkStart w:id="31" w:name="_Toc26412"/>
      <w:r>
        <w:t>3.4.1. Zaključavanje ploče i real-time obaveštavanje</w:t>
      </w:r>
      <w:bookmarkEnd w:id="31"/>
    </w:p>
    <w:p w14:paraId="2EC02E4E">
      <w:pPr>
        <w:spacing w:before="40" w:after="100"/>
        <w:jc w:val="both"/>
      </w:pPr>
      <w:r>
        <w:t>Sekvencijalni dijagram prikazuje scenario u kome korisnik otvara ploču za uređivanje – zahteva WRITE pristup, sistem primenjuje pesimističko zaključavanje, a ostali korisnici se obaveštavaju putem SignalR.</w:t>
      </w:r>
    </w:p>
    <w:p w14:paraId="205FC286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0"/>
      </w:tblGrid>
      <w:tr w14:paraId="4166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A9B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74335" cy="3481705"/>
                  <wp:effectExtent l="0" t="0" r="12065" b="8255"/>
                  <wp:docPr id="4" name="Picture 4" descr="VERTA_~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VERTA_~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F3D0A">
      <w:pPr>
        <w:spacing w:after="60"/>
      </w:pPr>
    </w:p>
    <w:p w14:paraId="3E336A0E">
      <w:pPr>
        <w:spacing w:before="40" w:after="100"/>
        <w:jc w:val="center"/>
      </w:pPr>
      <w:r>
        <w:rPr>
          <w:i/>
          <w:iCs/>
          <w:color w:val="666666"/>
        </w:rPr>
        <w:t>Slika 3 – Dijagram sekvence zaključavanja ploče</w:t>
      </w:r>
    </w:p>
    <w:p w14:paraId="31DF900D">
      <w:pPr>
        <w:spacing w:after="40"/>
      </w:pPr>
    </w:p>
    <w:p w14:paraId="070C483F">
      <w:pPr>
        <w:spacing w:before="40" w:after="100"/>
        <w:jc w:val="both"/>
      </w:pPr>
      <w:r>
        <w:t>Opis koraka:</w:t>
      </w:r>
    </w:p>
    <w:p w14:paraId="582B5C23">
      <w:pPr>
        <w:pStyle w:val="23"/>
        <w:numPr>
          <w:ilvl w:val="0"/>
          <w:numId w:val="2"/>
        </w:numPr>
        <w:spacing w:before="40" w:after="60"/>
      </w:pPr>
      <w:r>
        <w:t>Korisnik A šalje POST /api/board-locks/open/{boardId} zahtev.</w:t>
      </w:r>
    </w:p>
    <w:p w14:paraId="0C2F31FF">
      <w:pPr>
        <w:pStyle w:val="23"/>
        <w:numPr>
          <w:ilvl w:val="0"/>
          <w:numId w:val="2"/>
        </w:numPr>
        <w:spacing w:before="40" w:after="60"/>
      </w:pPr>
      <w:r>
        <w:t>BoardLockController delegira poziv BoardLockService.OpenBoard(boardId).</w:t>
      </w:r>
    </w:p>
    <w:p w14:paraId="51A21F9C">
      <w:pPr>
        <w:pStyle w:val="23"/>
        <w:numPr>
          <w:ilvl w:val="0"/>
          <w:numId w:val="2"/>
        </w:numPr>
        <w:spacing w:before="40" w:after="60"/>
      </w:pPr>
      <w:r>
        <w:t>BoardLockService proveri postoji li aktivni ključ u board_locks tabeli.</w:t>
      </w:r>
    </w:p>
    <w:p w14:paraId="60D494FC">
      <w:pPr>
        <w:pStyle w:val="23"/>
        <w:numPr>
          <w:ilvl w:val="0"/>
          <w:numId w:val="2"/>
        </w:numPr>
        <w:spacing w:before="40" w:after="60"/>
      </w:pPr>
      <w:r>
        <w:t>Ako je slobodno, INSERT-uje novi BoardLock sa ExpiresAt = now + 30s.</w:t>
      </w:r>
    </w:p>
    <w:p w14:paraId="79809DD8">
      <w:pPr>
        <w:pStyle w:val="23"/>
        <w:numPr>
          <w:ilvl w:val="0"/>
          <w:numId w:val="2"/>
        </w:numPr>
        <w:spacing w:before="40" w:after="60"/>
      </w:pPr>
      <w:r>
        <w:t>DomainEventSubject.NotifyAsync('BoardLocked', ...) notifikuje sve Observer-e.</w:t>
      </w:r>
    </w:p>
    <w:p w14:paraId="7DFA5D89">
      <w:pPr>
        <w:pStyle w:val="23"/>
        <w:numPr>
          <w:ilvl w:val="0"/>
          <w:numId w:val="2"/>
        </w:numPr>
        <w:spacing w:before="40" w:after="60"/>
      </w:pPr>
      <w:r>
        <w:t>RabbitMqDomainEventObserver publishes poruku u domain-events red.</w:t>
      </w:r>
    </w:p>
    <w:p w14:paraId="4E7FC2AA">
      <w:pPr>
        <w:pStyle w:val="23"/>
        <w:numPr>
          <w:ilvl w:val="0"/>
          <w:numId w:val="2"/>
        </w:numPr>
        <w:spacing w:before="40" w:after="60"/>
      </w:pPr>
      <w:r>
        <w:t>SignalRNotificationService šalje notifikaciju svim članovima workspace-a.</w:t>
      </w:r>
    </w:p>
    <w:p w14:paraId="19C76C91">
      <w:pPr>
        <w:pStyle w:val="23"/>
        <w:numPr>
          <w:ilvl w:val="0"/>
          <w:numId w:val="2"/>
        </w:numPr>
        <w:spacing w:before="40" w:after="60"/>
      </w:pPr>
      <w:r>
        <w:t>Korisnik A dobija odgovor: {Mode: WRITE, LockedAt, ExpiresAt}.</w:t>
      </w:r>
    </w:p>
    <w:p w14:paraId="3A4B6FCE">
      <w:pPr>
        <w:pStyle w:val="4"/>
      </w:pPr>
    </w:p>
    <w:p w14:paraId="5C83A8CB">
      <w:pPr>
        <w:pStyle w:val="4"/>
      </w:pPr>
    </w:p>
    <w:p w14:paraId="6D7E1B85">
      <w:pPr>
        <w:pStyle w:val="4"/>
      </w:pPr>
    </w:p>
    <w:p w14:paraId="05F6CA76">
      <w:pPr>
        <w:pStyle w:val="4"/>
      </w:pPr>
    </w:p>
    <w:p w14:paraId="6F62AABF">
      <w:pPr>
        <w:pStyle w:val="4"/>
      </w:pPr>
    </w:p>
    <w:p w14:paraId="3B66664F">
      <w:pPr>
        <w:pStyle w:val="4"/>
      </w:pPr>
      <w:bookmarkStart w:id="32" w:name="_Toc9855"/>
      <w:r>
        <w:t>3.4.2. Promena statusa zadatka uz State obrazac</w:t>
      </w:r>
      <w:bookmarkEnd w:id="32"/>
    </w:p>
    <w:p w14:paraId="619DF84B">
      <w:pPr>
        <w:spacing w:before="40" w:after="100"/>
        <w:jc w:val="both"/>
      </w:pPr>
      <w:r>
        <w:t>Sekvencijalni dijagram prikazuje scenario promene statusa radnog zadatka uz primenu State obrasca za validaciju prelaza i Observer obrasca za distribuciju događaja.</w:t>
      </w:r>
    </w:p>
    <w:p w14:paraId="38C4E086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4E2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A6C3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65445" cy="3117215"/>
                  <wp:effectExtent l="0" t="0" r="5715" b="6985"/>
                  <wp:docPr id="5" name="Picture 5" descr="VERTA_~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VERTA_~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6B652">
      <w:pPr>
        <w:spacing w:after="60"/>
      </w:pPr>
    </w:p>
    <w:p w14:paraId="039F8E1F">
      <w:pPr>
        <w:spacing w:before="40" w:after="100"/>
        <w:jc w:val="center"/>
      </w:pPr>
      <w:r>
        <w:rPr>
          <w:i/>
          <w:iCs/>
          <w:color w:val="666666"/>
        </w:rPr>
        <w:t>Slika 4 – Dijagram sekvence promene statusa zadatka</w:t>
      </w:r>
    </w:p>
    <w:p w14:paraId="1C3EBFDB">
      <w:pPr>
        <w:pStyle w:val="4"/>
      </w:pPr>
      <w:bookmarkStart w:id="33" w:name="_Toc19346"/>
      <w:r>
        <w:t>3.4.3. Slanje chat poruke i perzistencija</w:t>
      </w:r>
      <w:bookmarkEnd w:id="33"/>
    </w:p>
    <w:p w14:paraId="0EF97B8C">
      <w:pPr>
        <w:spacing w:before="40" w:after="100"/>
        <w:jc w:val="both"/>
      </w:pPr>
      <w:r>
        <w:t>Sekvencijalni dijagram prikazuje scenario slanja chat poruke između članova tima.</w:t>
      </w:r>
    </w:p>
    <w:p w14:paraId="56C2994C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0"/>
      </w:tblGrid>
      <w:tr w14:paraId="0C6B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7221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71795" cy="2747010"/>
                  <wp:effectExtent l="0" t="0" r="14605" b="11430"/>
                  <wp:docPr id="6" name="Picture 6" descr="Verta_Sequence_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Verta_Sequence_Chat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95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E4AC0">
      <w:pPr>
        <w:spacing w:after="60"/>
      </w:pPr>
    </w:p>
    <w:p w14:paraId="3B128994">
      <w:pPr>
        <w:spacing w:before="40" w:after="100"/>
        <w:jc w:val="center"/>
      </w:pPr>
      <w:r>
        <w:rPr>
          <w:i/>
          <w:iCs/>
          <w:color w:val="666666"/>
        </w:rPr>
        <w:t>Slika 5 – Dijagram sekvence slanja chat poruke</w:t>
      </w:r>
    </w:p>
    <w:p w14:paraId="6081FA72"/>
    <w:p w14:paraId="5B5DC7B2">
      <w:pPr>
        <w:pStyle w:val="2"/>
        <w:pBdr>
          <w:bottom w:val="single" w:color="2E75B6" w:sz="6" w:space="6"/>
        </w:pBdr>
      </w:pPr>
      <w:bookmarkStart w:id="34" w:name="_Toc3360"/>
      <w:r>
        <w:t>4. Implementaciona pitanja</w:t>
      </w:r>
      <w:bookmarkEnd w:id="34"/>
    </w:p>
    <w:p w14:paraId="0955B87F">
      <w:pPr>
        <w:spacing w:before="40" w:after="100"/>
        <w:jc w:val="both"/>
      </w:pPr>
      <w:r>
        <w:t>U ovom poglavlju prikazan je izbor programskih okvira i biblioteka koji se koriste za realizaciju klijentskog i serverskog dela sistema, kao i obrasci koje ovi okviri primenjuju.</w:t>
      </w:r>
    </w:p>
    <w:p w14:paraId="64104C2B">
      <w:pPr>
        <w:pStyle w:val="3"/>
      </w:pPr>
      <w:bookmarkStart w:id="35" w:name="_Toc26707"/>
      <w:r>
        <w:t>4.1. Serverska strana</w:t>
      </w:r>
      <w:bookmarkEnd w:id="35"/>
    </w:p>
    <w:p w14:paraId="75CE371C">
      <w:pPr>
        <w:spacing w:before="40" w:after="100"/>
        <w:jc w:val="both"/>
      </w:pPr>
      <w:r>
        <w:t>Za implementaciju serverske strane sistema izabran je programski okvir ASP.NET Core 10 sa programskim jezikom C# i .NET 10 runtime-om.</w:t>
      </w:r>
    </w:p>
    <w:p w14:paraId="22ABC50D">
      <w:pPr>
        <w:spacing w:before="40" w:after="100"/>
        <w:jc w:val="both"/>
      </w:pPr>
      <w:r>
        <w:t>ASP.NET Core predstavlja modernu, modularnu i visoko-performantnu platformu za razvoj web aplikacija i distribuiranih sistema. U okviru ovog projekta koristi se za implementaciju poslovne logike, upravljanje životnim ciklusom zadataka, konkurentni pristup podacima i komunikaciju sa spoljnim servisima.</w:t>
      </w:r>
    </w:p>
    <w:p w14:paraId="2F7D5301">
      <w:pPr>
        <w:spacing w:before="40" w:after="100"/>
        <w:jc w:val="both"/>
      </w:pPr>
      <w:r>
        <w:t>Serverska strana primenjuje MVC (Model–View–Controller) obrazac, pri čemu:</w:t>
      </w:r>
    </w:p>
    <w:p w14:paraId="3FD15E0D">
      <w:pPr>
        <w:pStyle w:val="23"/>
        <w:numPr>
          <w:ilvl w:val="0"/>
          <w:numId w:val="1"/>
        </w:numPr>
        <w:spacing w:before="40" w:after="60"/>
      </w:pPr>
      <w:r>
        <w:t>Model predstavlja domenski sloj sistema (domenski entiteti, State mašina, Observer i Command obrasci),</w:t>
      </w:r>
    </w:p>
    <w:p w14:paraId="56287132">
      <w:pPr>
        <w:pStyle w:val="23"/>
        <w:numPr>
          <w:ilvl w:val="0"/>
          <w:numId w:val="1"/>
        </w:numPr>
        <w:spacing w:before="40" w:after="60"/>
      </w:pPr>
      <w:r>
        <w:t>Controller sloj čine REST API kontroleri koji obrađuju HTTP zahteve i delegiraju obradu aplikacionim servisima,</w:t>
      </w:r>
    </w:p>
    <w:p w14:paraId="297162F4">
      <w:pPr>
        <w:pStyle w:val="23"/>
        <w:numPr>
          <w:ilvl w:val="0"/>
          <w:numId w:val="1"/>
        </w:numPr>
        <w:spacing w:before="40" w:after="60"/>
      </w:pPr>
      <w:r>
        <w:t>View sloj nije implementiran na serverskoj strani, već je realizovan u okviru klijentske Angular aplikacije.</w:t>
      </w:r>
    </w:p>
    <w:p w14:paraId="2358ED59">
      <w:pPr>
        <w:spacing w:after="60"/>
      </w:pPr>
    </w:p>
    <w:p w14:paraId="789F7124">
      <w:pPr>
        <w:spacing w:before="40" w:after="100"/>
        <w:jc w:val="both"/>
      </w:pPr>
      <w:r>
        <w:t>Na serverskoj strani koriste se sledeće ključne biblioteke i servisi:</w:t>
      </w:r>
    </w:p>
    <w:p w14:paraId="6CCD076E">
      <w:pPr>
        <w:spacing w:after="4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9"/>
        <w:gridCol w:w="3737"/>
      </w:tblGrid>
      <w:tr w14:paraId="53F9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D14B">
            <w:r>
              <w:rPr>
                <w:b/>
                <w:bCs/>
                <w:color w:val="1F4E79"/>
              </w:rPr>
              <w:t>Tehnologija/Biblioteka</w:t>
            </w:r>
            <w:r>
              <w:t xml:space="preserve"> 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1635">
            <w:r>
              <w:rPr>
                <w:b/>
                <w:bCs/>
                <w:color w:val="1F4E79"/>
              </w:rPr>
              <w:t>Opis</w:t>
            </w:r>
          </w:p>
        </w:tc>
      </w:tr>
      <w:tr w14:paraId="51F4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A846">
            <w:r>
              <w:rPr>
                <w:b/>
                <w:bCs/>
              </w:rPr>
              <w:t>Entity Framework Core + Npgsql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34FB">
            <w:r>
              <w:t>ORM framework za komunikaciju sa PostgreSQL bazom podataka kroz Code First pristup, migracije i transakcije (IUnitOfWork).</w:t>
            </w:r>
          </w:p>
        </w:tc>
      </w:tr>
      <w:tr w14:paraId="319E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21D3">
            <w:r>
              <w:rPr>
                <w:b/>
                <w:bCs/>
              </w:rPr>
              <w:t>Microsoft.AspNetCore.SignalR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6F47">
            <w:r>
              <w:t>Biblioteka za real-time WebSocket komunikaciju između servera i klijenata kroz SystemHub sa autorizovanim grupama.</w:t>
            </w:r>
          </w:p>
        </w:tc>
      </w:tr>
      <w:tr w14:paraId="7DAA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E7EF">
            <w:r>
              <w:rPr>
                <w:b/>
                <w:bCs/>
              </w:rPr>
              <w:t>RabbitMQ.Client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617D">
            <w:r>
              <w:t>Klijentska biblioteka za komunikaciju sa RabbitMQ message brokerom kroz AMQP 0-9-1 protokol. Koristi IRabbitMqConnectionManager za deljenu konekciju.</w:t>
            </w:r>
          </w:p>
        </w:tc>
      </w:tr>
      <w:tr w14:paraId="4BFD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F3DE">
            <w:r>
              <w:rPr>
                <w:b/>
                <w:bCs/>
              </w:rPr>
              <w:t>Microsoft.AspNetCore.Authentication.JwtBearer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F9F">
            <w:r>
              <w:t>Biblioteka za JWT autentikaciju i validaciju tokena u HTTP zahtevima i WebSocket konekcijama (OnMessageReceived za query string token).</w:t>
            </w:r>
          </w:p>
        </w:tc>
      </w:tr>
      <w:tr w14:paraId="3464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9B96">
            <w:r>
              <w:t>Microsoft.AspNetCore.Cryptography.KeyDerivation (PasswordHasher)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E1F8">
            <w:r>
              <w:t>Biblioteka za bezbedno hešovanje i verifikaciju korisničkih lozinki.</w:t>
            </w:r>
          </w:p>
        </w:tc>
      </w:tr>
      <w:tr w14:paraId="214A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F9C5">
            <w:r>
              <w:rPr>
                <w:b/>
                <w:bCs/>
              </w:rPr>
              <w:t>Swashbuckle (Swagger)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F5F6">
            <w:r>
              <w:t>Automatska generacija OpenAPI dokumentacije i interaktivnog UI za testiranje API endpoint-a sa JWT Bearer autentikacijom.</w:t>
            </w:r>
          </w:p>
        </w:tc>
      </w:tr>
      <w:tr w14:paraId="1525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ACF">
            <w:r>
              <w:rPr>
                <w:b/>
                <w:bCs/>
              </w:rPr>
              <w:t>Docker + Docker Compose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7A05">
            <w:r>
              <w:t>Kontejnerizacija aplikacije i zavisnosti (PostgreSQL, RabbitMQ, pgAdmin) sa health check mehanizmima i urednim redosledom pokretanja.</w:t>
            </w:r>
          </w:p>
        </w:tc>
      </w:tr>
    </w:tbl>
    <w:p w14:paraId="1B0EDA7A">
      <w:pPr>
        <w:pStyle w:val="3"/>
      </w:pPr>
      <w:bookmarkStart w:id="36" w:name="_Toc8344"/>
      <w:r>
        <w:t>4.2. Klijentska strana</w:t>
      </w:r>
      <w:bookmarkEnd w:id="36"/>
    </w:p>
    <w:p w14:paraId="03F4BFFF">
      <w:pPr>
        <w:spacing w:before="40" w:after="100"/>
        <w:jc w:val="both"/>
      </w:pPr>
      <w:r>
        <w:t>Za implementaciju klijentske strane sistema izabran je programski okvir Angular, zasnovan na TypeScript jeziku.</w:t>
      </w:r>
    </w:p>
    <w:p w14:paraId="5224D60F">
      <w:pPr>
        <w:spacing w:before="40" w:after="100"/>
        <w:jc w:val="both"/>
      </w:pPr>
      <w:r>
        <w:t>Angular omogućava razvoj modularnih, skalabilnih i održivih klijentskih aplikacija sa podrškom za reaktivni model rada i real-time ažuriranje korisničkog interfejsa.</w:t>
      </w:r>
    </w:p>
    <w:p w14:paraId="0A211210">
      <w:pPr>
        <w:spacing w:before="40" w:after="100"/>
        <w:jc w:val="both"/>
      </w:pPr>
      <w:r>
        <w:t>Klijentska aplikacija je organizovana prema MVVM (Model–View–ViewModel) obrascu, pri čemu:</w:t>
      </w:r>
    </w:p>
    <w:p w14:paraId="03E6DE51">
      <w:pPr>
        <w:pStyle w:val="23"/>
        <w:numPr>
          <w:ilvl w:val="0"/>
          <w:numId w:val="1"/>
        </w:numPr>
        <w:spacing w:before="40" w:after="60"/>
      </w:pPr>
      <w:r>
        <w:t>View sloj čine Angular komponente i njihovi HTML/CSS templejti (board-modal, task-modal, chat-bubble, invite-modal, workspace-modal, ve-notification, ve-profile, avatar i dr.),</w:t>
      </w:r>
    </w:p>
    <w:p w14:paraId="38FF6137">
      <w:pPr>
        <w:pStyle w:val="23"/>
        <w:numPr>
          <w:ilvl w:val="0"/>
          <w:numId w:val="1"/>
        </w:numPr>
        <w:spacing w:before="40" w:after="60"/>
      </w:pPr>
      <w:r>
        <w:t>ViewModel predstavlja logika Angular servisa koji upravljaju stanjem interfejsa i komuniciraju sa serverom (AuthService, WorkspaceService, ChatService, UserService),</w:t>
      </w:r>
    </w:p>
    <w:p w14:paraId="6D10A2FF">
      <w:pPr>
        <w:pStyle w:val="23"/>
        <w:numPr>
          <w:ilvl w:val="0"/>
          <w:numId w:val="1"/>
        </w:numPr>
        <w:spacing w:before="40" w:after="60"/>
      </w:pPr>
      <w:r>
        <w:t>Model sloj čine TypeScript interfejsi i tipovi koji odgovaraju DTO-ovima sa servera (WorkspaceResponse, WorkspaceMemberResponse, LoginRequest, RegisterRequest i dr.).</w:t>
      </w:r>
    </w:p>
    <w:p w14:paraId="7D72F9F9">
      <w:pPr>
        <w:spacing w:after="60"/>
      </w:pPr>
    </w:p>
    <w:p w14:paraId="75306714">
      <w:pPr>
        <w:spacing w:before="40" w:after="100"/>
        <w:jc w:val="both"/>
      </w:pPr>
      <w:r>
        <w:t>Za komunikaciju sa serverskom stranom koriste se:</w:t>
      </w:r>
    </w:p>
    <w:p w14:paraId="328416E1">
      <w:pPr>
        <w:pStyle w:val="23"/>
        <w:numPr>
          <w:ilvl w:val="0"/>
          <w:numId w:val="1"/>
        </w:numPr>
        <w:spacing w:before="40" w:after="60"/>
      </w:pPr>
      <w:r>
        <w:t>Angular HttpClient za REST HTTP pozive sa automatskim dodavanjem JWT tokena kroz auth interceptor (auth.interceptor.ts),</w:t>
      </w:r>
    </w:p>
    <w:p w14:paraId="6054B9E9">
      <w:pPr>
        <w:pStyle w:val="23"/>
        <w:numPr>
          <w:ilvl w:val="0"/>
          <w:numId w:val="1"/>
        </w:numPr>
        <w:spacing w:before="40" w:after="60"/>
      </w:pPr>
      <w:r>
        <w:t>SignalR JavaScript klijent (@microsoft/signalr) za real-time WebSocket komunikaciju sa SystemHub-om,</w:t>
      </w:r>
    </w:p>
    <w:p w14:paraId="797F167F">
      <w:pPr>
        <w:pStyle w:val="23"/>
        <w:numPr>
          <w:ilvl w:val="0"/>
          <w:numId w:val="1"/>
        </w:numPr>
        <w:spacing w:before="40" w:after="60"/>
      </w:pPr>
      <w:r>
        <w:t>Route Guards (authGuard) za zaštitu ruta koje zahtevaju autentikaciju.</w:t>
      </w:r>
    </w:p>
    <w:p w14:paraId="20000018">
      <w:pPr>
        <w:spacing w:before="40" w:after="100"/>
        <w:jc w:val="both"/>
      </w:pPr>
      <w:r>
        <w:t>Napomena – poznata ograničenja klijentske implementacije: U trenutnoj verziji frontend-a postoje dvije tehničke napomene. Prvo, TaskService direktno dodaje Authorization header u svaki HTTP poziv zaobilazeći registrovani authInterceptor – preporučeni pristup je oslanjanje isključivo na interceptor kako bi upravljanje tokenom bilo centralizovano na jednom mjestu. Drugo, BoardLock funkcionalnost nije implementirana na klijentskoj strani – frontend ne poziva endpoint za zaključavanje ploče (POST /api/board-locks/open/{boardId}), što je planirano za narednu fazu razvoja.</w:t>
      </w:r>
    </w:p>
    <w:p w14:paraId="7255A351">
      <w:pPr>
        <w:pStyle w:val="3"/>
      </w:pPr>
      <w:bookmarkStart w:id="37" w:name="_Toc24032"/>
      <w:r>
        <w:t>4.3. Obrasci koje primenjuju izabrani okviri</w:t>
      </w:r>
      <w:bookmarkEnd w:id="37"/>
    </w:p>
    <w:p w14:paraId="76579CA3">
      <w:pPr>
        <w:spacing w:before="40" w:after="100"/>
        <w:jc w:val="both"/>
      </w:pPr>
      <w:r>
        <w:t>Na osnovu izabranih programskih okvira i biblioteka, u sistemu se primenjuju sledeći obrasci:</w:t>
      </w:r>
    </w:p>
    <w:p w14:paraId="6FBB3774">
      <w:pPr>
        <w:spacing w:after="4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987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AE50">
            <w:r>
              <w:rPr>
                <w:b/>
                <w:bCs/>
                <w:color w:val="1F4E79"/>
              </w:rPr>
              <w:t>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2ADA">
            <w:r>
              <w:rPr>
                <w:b/>
                <w:bCs/>
                <w:color w:val="1F4E79"/>
              </w:rPr>
              <w:t>Opis</w:t>
            </w:r>
          </w:p>
        </w:tc>
      </w:tr>
      <w:tr w14:paraId="426B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56AD">
            <w:r>
              <w:rPr>
                <w:b/>
                <w:bCs/>
              </w:rPr>
              <w:t>MVC na serverskoj strani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E1DD">
            <w:r>
              <w:t>ASP.NET Core implementira MVC kroz kontrolere (C), domenske entitete (M) i Angular View (V).</w:t>
            </w:r>
          </w:p>
        </w:tc>
      </w:tr>
      <w:tr w14:paraId="1B31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3F1">
            <w:r>
              <w:rPr>
                <w:b/>
                <w:bCs/>
              </w:rPr>
              <w:t>MVVM na klijentskoj strani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5775">
            <w:r>
              <w:t>Angular implementira MVVM kroz komponente (View), Angular servise (ViewModel) i TypeScript interfejse (Model).</w:t>
            </w:r>
          </w:p>
        </w:tc>
      </w:tr>
      <w:tr w14:paraId="4CB3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9F26">
            <w:r>
              <w:rPr>
                <w:b/>
                <w:bCs/>
              </w:rPr>
              <w:t>Repository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2930">
            <w:r>
              <w:t>IGenericRepository&lt;T&gt; i specijalizovani interfejsi apstrahuju pristup EF Core DbContext-u.</w:t>
            </w:r>
          </w:p>
        </w:tc>
      </w:tr>
      <w:tr w14:paraId="57A5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218">
            <w:r>
              <w:rPr>
                <w:b/>
                <w:bCs/>
              </w:rPr>
              <w:t>State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1865">
            <w:r>
              <w:t>IWorkItemState implementacije enkapsuliraju dozvoljene prelaze WorkItem statusa uz WorkItemStateFactory.</w:t>
            </w:r>
          </w:p>
        </w:tc>
      </w:tr>
      <w:tr w14:paraId="13F9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EB79">
            <w:r>
              <w:rPr>
                <w:b/>
                <w:bCs/>
              </w:rPr>
              <w:t>Observer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E46">
            <w:r>
              <w:t>DomainEventSubject + IDomainEventObserver omogućavaju distribuciju domenskih događaja Observer-ima.</w:t>
            </w:r>
          </w:p>
        </w:tc>
      </w:tr>
      <w:tr w14:paraId="34F7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7F6C">
            <w:r>
              <w:rPr>
                <w:b/>
                <w:bCs/>
              </w:rPr>
              <w:t>Command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003A">
            <w:r>
              <w:t>ICommand&lt;T&gt; + CommandInvoker enkapsuliraju poslovne operacije nad zadacima.</w:t>
            </w:r>
          </w:p>
        </w:tc>
      </w:tr>
      <w:tr w14:paraId="0E21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B122">
            <w:r>
              <w:rPr>
                <w:b/>
                <w:bCs/>
              </w:rPr>
              <w:t>Factory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ACFC">
            <w:r>
              <w:t>WorkItemStateFactory centralizuje kreiranje IWorkItemState implementacija.</w:t>
            </w:r>
          </w:p>
        </w:tc>
      </w:tr>
      <w:tr w14:paraId="0330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146">
            <w:r>
              <w:rPr>
                <w:b/>
                <w:bCs/>
              </w:rPr>
              <w:t>Publish–Subscribe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FCAC">
            <w:r>
              <w:t>RabbitMQ domain-events i user-events redovi omogućavaju asinhronu obradu i audit trail događaja.</w:t>
            </w:r>
          </w:p>
        </w:tc>
      </w:tr>
      <w:tr w14:paraId="2306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3ADE">
            <w:r>
              <w:rPr>
                <w:b/>
                <w:bCs/>
              </w:rPr>
              <w:t>Client–Server arhitektura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DECD">
            <w:r>
              <w:t>Angular SPA kao klijent komunicira sa ASP.NET Core serverom putem REST i SignalR protokola.</w:t>
            </w:r>
          </w:p>
        </w:tc>
      </w:tr>
      <w:tr w14:paraId="0EF9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506F">
            <w:r>
              <w:rPr>
                <w:b/>
                <w:bCs/>
              </w:rPr>
              <w:t>Dependency Injection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1815">
            <w:r>
              <w:t>ASP.NET Core DI kontejner upravlja životnim vekom servisa, repozitorijuma i Observer-a.</w:t>
            </w:r>
          </w:p>
        </w:tc>
      </w:tr>
    </w:tbl>
    <w:p w14:paraId="10613DA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F8C69"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Verta – Platforma za upravljanje projektima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E2AB"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Arhitektura i projektovanje softvera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634823"/>
    <w:multiLevelType w:val="multilevel"/>
    <w:tmpl w:val="3563482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0DC6FDD"/>
    <w:multiLevelType w:val="multilevel"/>
    <w:tmpl w:val="70DC6FD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</w:compat>
  <w:rsids>
    <w:rsidRoot w:val="007F4412"/>
    <w:rsid w:val="00435580"/>
    <w:rsid w:val="007F4412"/>
    <w:rsid w:val="00831FB6"/>
    <w:rsid w:val="08AD001E"/>
    <w:rsid w:val="28D63A55"/>
    <w:rsid w:val="299623B1"/>
    <w:rsid w:val="2B577F9F"/>
    <w:rsid w:val="580D00B8"/>
    <w:rsid w:val="626E22CD"/>
    <w:rsid w:val="735E6655"/>
    <w:rsid w:val="75F6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22"/>
      <w:szCs w:val="22"/>
      <w:lang w:val="en-US" w:eastAsia="en-US" w:bidi="ar-SA"/>
    </w:rPr>
  </w:style>
  <w:style w:type="paragraph" w:styleId="2">
    <w:name w:val="heading 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  <w:lang w:val="en-US" w:eastAsia="en-US" w:bidi="ar-SA"/>
    </w:rPr>
  </w:style>
  <w:style w:type="paragraph" w:styleId="3">
    <w:name w:val="heading 2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  <w:lang w:val="en-US" w:eastAsia="en-US" w:bidi="ar-SA"/>
    </w:rPr>
  </w:style>
  <w:style w:type="paragraph" w:styleId="4">
    <w:name w:val="heading 3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555555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6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5"/>
    <w:semiHidden/>
    <w:unhideWhenUsed/>
    <w:qFormat/>
    <w:uiPriority w:val="99"/>
    <w:rPr>
      <w:rFonts w:ascii="Arial" w:hAnsi="Arial" w:eastAsia="Arial" w:cs="Arial"/>
      <w:color w:val="222222"/>
      <w:sz w:val="20"/>
      <w:szCs w:val="20"/>
      <w:lang w:val="en-US" w:eastAsia="en-US" w:bidi="ar-SA"/>
    </w:r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680"/>
        <w:tab w:val="right" w:pos="9360"/>
      </w:tabs>
    </w:p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4"/>
    <w:semiHidden/>
    <w:unhideWhenUsed/>
    <w:qFormat/>
    <w:uiPriority w:val="99"/>
    <w:rPr>
      <w:rFonts w:ascii="Arial" w:hAnsi="Arial" w:eastAsia="Arial" w:cs="Arial"/>
      <w:color w:val="222222"/>
      <w:sz w:val="20"/>
      <w:szCs w:val="20"/>
      <w:lang w:val="en-US" w:eastAsia="en-US" w:bidi="ar-SA"/>
    </w:rPr>
  </w:style>
  <w:style w:type="paragraph" w:styleId="16">
    <w:name w:val="header"/>
    <w:basedOn w:val="1"/>
    <w:link w:val="27"/>
    <w:unhideWhenUsed/>
    <w:qFormat/>
    <w:uiPriority w:val="99"/>
    <w:pPr>
      <w:tabs>
        <w:tab w:val="center" w:pos="4680"/>
        <w:tab w:val="right" w:pos="9360"/>
      </w:tabs>
    </w:p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Title"/>
    <w:qFormat/>
    <w:uiPriority w:val="0"/>
    <w:rPr>
      <w:rFonts w:ascii="Arial" w:hAnsi="Arial" w:eastAsia="Arial" w:cs="Arial"/>
      <w:color w:val="222222"/>
      <w:sz w:val="56"/>
      <w:szCs w:val="56"/>
      <w:lang w:val="en-US" w:eastAsia="en-US" w:bidi="ar-SA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customStyle="1" w:styleId="22">
    <w:name w:val="Strong1"/>
    <w:qFormat/>
    <w:uiPriority w:val="0"/>
    <w:rPr>
      <w:rFonts w:ascii="Arial" w:hAnsi="Arial" w:eastAsia="Arial" w:cs="Arial"/>
      <w:b/>
      <w:bCs/>
      <w:color w:val="222222"/>
      <w:sz w:val="22"/>
      <w:szCs w:val="22"/>
      <w:lang w:val="en-US" w:eastAsia="en-US" w:bidi="ar-SA"/>
    </w:rPr>
  </w:style>
  <w:style w:type="paragraph" w:styleId="23">
    <w:name w:val="List Paragraph"/>
    <w:qFormat/>
    <w:uiPriority w:val="0"/>
    <w:rPr>
      <w:rFonts w:ascii="Arial" w:hAnsi="Arial" w:eastAsia="Arial" w:cs="Arial"/>
      <w:color w:val="222222"/>
      <w:sz w:val="22"/>
      <w:szCs w:val="22"/>
      <w:lang w:val="en-US" w:eastAsia="en-US" w:bidi="ar-SA"/>
    </w:rPr>
  </w:style>
  <w:style w:type="character" w:customStyle="1" w:styleId="24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5">
    <w:name w:val="End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6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7">
    <w:name w:val="Header Char"/>
    <w:basedOn w:val="8"/>
    <w:link w:val="16"/>
    <w:qFormat/>
    <w:uiPriority w:val="99"/>
  </w:style>
  <w:style w:type="character" w:customStyle="1" w:styleId="28">
    <w:name w:val="Footer Char"/>
    <w:basedOn w:val="8"/>
    <w:link w:val="13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873</Words>
  <Characters>5966</Characters>
  <Lines>252</Lines>
  <Paragraphs>71</Paragraphs>
  <TotalTime>213</TotalTime>
  <ScaleCrop>false</ScaleCrop>
  <LinksUpToDate>false</LinksUpToDate>
  <CharactersWithSpaces>6813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2026-06-28T18:33:00Z</dcterms:created>
  <dc:creator>Un-named</dc:creator>
  <cp:lastModifiedBy>Riba Srednja</cp:lastModifiedBy>
  <dcterms:modified xsi:type="dcterms:W3CDTF">2026-06-30T14:52:59Z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8045DF1ABCB44D73A49A9B29B3E58233_12</vt:lpwstr>
  </property>
</Properties>
</file>