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>
        <w:lastRenderedPageBreak/>
        <w:t>gae_lambda=0.95: GAE parameter for advantage estimation</w:t>
      </w:r>
    </w:p>
    <w:p w14:paraId="25E238A0" w14:textId="16AC0318" w:rsidR="00156ADC" w:rsidRDefault="00984999" w:rsidP="00984999">
      <w:r>
        <w:t>clip_range=0.2: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2DE0150A" w14:textId="45FB871D" w:rsidR="00E77B0F" w:rsidRDefault="00E77B0F">
      <w:r>
        <w:t>[7]</w:t>
      </w:r>
      <w:r w:rsidR="00BC5D3F">
        <w:t xml:space="preserve"> </w:t>
      </w:r>
      <w:hyperlink r:id="rId12" w:history="1">
        <w:r w:rsidR="00BC5D3F"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4C1E1BC6" w14:textId="77777777" w:rsidR="00E77B0F" w:rsidRDefault="00E77B0F"/>
    <w:p w14:paraId="6BCA5CCA" w14:textId="13CFAD89" w:rsidR="00E77B0F" w:rsidRDefault="00E77B0F">
      <w:r>
        <w:t>[8]</w:t>
      </w:r>
      <w:r w:rsidR="00BC0F65">
        <w:t xml:space="preserve"> </w:t>
      </w:r>
      <w:hyperlink r:id="rId13" w:history="1">
        <w:r w:rsidR="00BC0F65" w:rsidRPr="00BC0F65">
          <w:rPr>
            <w:rStyle w:val="Hyperlink"/>
          </w:rPr>
          <w:t>Notes on the Generalized Advantage Estimation Paper</w:t>
        </w:r>
        <w:r w:rsidR="00BC0F65" w:rsidRPr="00BC0F65">
          <w:rPr>
            <w:rStyle w:val="Hyperlink"/>
          </w:rPr>
          <w:t>, Seita’s Place blog, April 2017</w:t>
        </w:r>
      </w:hyperlink>
    </w:p>
    <w:p w14:paraId="49B72A7B" w14:textId="77777777" w:rsidR="00BC5D3F" w:rsidRDefault="00BC5D3F"/>
    <w:p w14:paraId="0B53649B" w14:textId="35C233D0" w:rsidR="00BC5D3F" w:rsidRDefault="00BC5D3F">
      <w:r>
        <w:t xml:space="preserve">[9] </w:t>
      </w:r>
      <w:hyperlink r:id="rId14" w:history="1">
        <w:r w:rsidRPr="00C93E5D">
          <w:rPr>
            <w:rStyle w:val="Hyperlink"/>
            <w:szCs w:val="19"/>
          </w:rPr>
          <w:t xml:space="preserve">Human-level control through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Nature, 2015</w:t>
        </w:r>
      </w:hyperlink>
    </w:p>
    <w:p w14:paraId="4B85692C" w14:textId="77777777" w:rsidR="00BC5D3F" w:rsidRDefault="00BC5D3F"/>
    <w:p w14:paraId="75D3C7FC" w14:textId="792057C1" w:rsidR="00BC5D3F" w:rsidRDefault="00BC5D3F">
      <w:r>
        <w:t xml:space="preserve">[10] </w:t>
      </w:r>
      <w:hyperlink r:id="rId15" w:history="1">
        <w:r w:rsidRPr="00C93E5D">
          <w:rPr>
            <w:rStyle w:val="Hyperlink"/>
            <w:szCs w:val="19"/>
          </w:rPr>
          <w:t xml:space="preserve">Asynchronous methods for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Google DeepMind, 2016</w:t>
        </w:r>
      </w:hyperlink>
    </w:p>
    <w:p w14:paraId="6CB61DC0" w14:textId="77777777" w:rsidR="00BC5D3F" w:rsidRDefault="00BC5D3F"/>
    <w:p w14:paraId="19E5A7B9" w14:textId="7F1C1692" w:rsidR="00BC5D3F" w:rsidRDefault="00BC5D3F">
      <w:r>
        <w:t xml:space="preserve">[11] </w:t>
      </w:r>
      <w:hyperlink r:id="rId16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45EE8D70" w:rsidR="00BC5D3F" w:rsidRDefault="00BC5D3F">
      <w:r>
        <w:t xml:space="preserve">[12] </w:t>
      </w:r>
      <w:hyperlink r:id="rId17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1B13ECC4" w:rsidR="00102B87" w:rsidRDefault="00102B87">
      <w:r>
        <w:t>[13</w:t>
      </w:r>
      <w:r w:rsidR="0002193D">
        <w:t xml:space="preserve">] </w:t>
      </w:r>
      <w:hyperlink r:id="rId18" w:history="1">
        <w:r w:rsidR="0002193D" w:rsidRPr="0002193D">
          <w:rPr>
            <w:rStyle w:val="Hyperlink"/>
          </w:rPr>
          <w:t>PPO for LLMs: A Guide for Normal People</w:t>
        </w:r>
        <w:r w:rsidR="0002193D" w:rsidRPr="0002193D">
          <w:rPr>
            <w:rStyle w:val="Hyperlink"/>
          </w:rPr>
          <w:t>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lastRenderedPageBreak/>
        <w:t>Markov Decision Processes (MDP)</w:t>
      </w:r>
    </w:p>
    <w:p w14:paraId="2709B2C9" w14:textId="583D1F1F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9C6F19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  <w:r w:rsidR="008D74BF">
        <w:rPr>
          <w:rFonts w:eastAsiaTheme="minorEastAsia"/>
        </w:rPr>
        <w:t xml:space="preserve"> Note that in case state space is discrete we will use 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 xml:space="preserve"> instead of density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>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165FE06D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 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7A2A43B4" w:rsidR="00C7401B" w:rsidRDefault="00C7401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46C01480" w14:textId="77777777" w:rsidR="00072C53" w:rsidRDefault="00072C53">
      <w:pPr>
        <w:rPr>
          <w:rFonts w:eastAsiaTheme="minorEastAsia"/>
        </w:rPr>
      </w:pPr>
    </w:p>
    <w:p w14:paraId="1A71FDC4" w14:textId="37443E46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</m:t>
        </m:r>
        <m:r>
          <w:rPr>
            <w:rFonts w:ascii="Cambria Math" w:eastAsiaTheme="minorEastAsia" w:hAnsi="Cambria Math"/>
          </w:rPr>
          <m:t>U×</m:t>
        </m:r>
        <m:r>
          <w:rPr>
            <w:rFonts w:ascii="Cambria Math" w:eastAsiaTheme="minorEastAsia" w:hAnsi="Cambria Math"/>
          </w:rPr>
          <m:t>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  <w:r w:rsidR="007C00C1">
        <w:rPr>
          <w:rFonts w:eastAsiaTheme="minorEastAsia"/>
        </w:rPr>
        <w:t xml:space="preserve"> At any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the actor will choose an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by drawing it from a stochastic parametrized policy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,θ</m:t>
            </m:r>
          </m:e>
        </m:d>
      </m:oMath>
      <w:r w:rsidR="007C00C1">
        <w:rPr>
          <w:rFonts w:eastAsiaTheme="minorEastAsia"/>
        </w:rPr>
        <w:t xml:space="preserve"> with parameters </w:t>
      </w:r>
      <m:oMath>
        <m:r>
          <w:rPr>
            <w:rFonts w:ascii="Cambria Math" w:eastAsiaTheme="minorEastAsia" w:hAnsi="Cambria Math"/>
          </w:rPr>
          <m:t>θ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7C00C1">
        <w:rPr>
          <w:rFonts w:eastAsiaTheme="minorEastAsia"/>
        </w:rPr>
        <w:t xml:space="preserve"> and the system transfers to a new state drawn from the state </w:t>
      </w:r>
      <w:r w:rsidR="008D74BF">
        <w:rPr>
          <w:rFonts w:eastAsiaTheme="minorEastAsia"/>
        </w:rPr>
        <w:t>transition density</w:t>
      </w:r>
      <w:r w:rsidR="007C00C1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4C307B">
        <w:rPr>
          <w:rFonts w:eastAsiaTheme="minorEastAsia"/>
        </w:rPr>
        <w:t xml:space="preserve"> or </w:t>
      </w:r>
      <w:r w:rsidR="008D74BF">
        <w:rPr>
          <w:rFonts w:eastAsiaTheme="minorEastAsia"/>
        </w:rPr>
        <w:t>state trans</w:t>
      </w:r>
      <w:r w:rsidR="008D74BF">
        <w:rPr>
          <w:rFonts w:eastAsiaTheme="minorEastAsia"/>
        </w:rPr>
        <w:t>ition</w:t>
      </w:r>
      <w:r w:rsidR="008D74BF">
        <w:rPr>
          <w:rFonts w:eastAsiaTheme="minorEastAsia"/>
        </w:rPr>
        <w:t xml:space="preserve">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4C307B">
        <w:rPr>
          <w:rFonts w:eastAsiaTheme="minorEastAsia"/>
        </w:rPr>
        <w:t xml:space="preserve"> in the discrete case.</w:t>
      </w:r>
    </w:p>
    <w:p w14:paraId="1DED4AA5" w14:textId="77777777" w:rsidR="002C7A81" w:rsidRDefault="002C7A81" w:rsidP="002C7A81">
      <w:pPr>
        <w:rPr>
          <w:sz w:val="20"/>
          <w:szCs w:val="20"/>
        </w:rPr>
      </w:pPr>
      <w:r>
        <w:t xml:space="preserve">Policy is a map from state to action – a function </w:t>
      </w:r>
      <m:oMath>
        <m:r>
          <w:rPr>
            <w:rFonts w:ascii="Cambria Math" w:hAnsi="Cambria Math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S→A</m:t>
        </m:r>
      </m:oMath>
      <w:r>
        <w:rPr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Default="002C7A81" w:rsidP="002C7A81">
      <w:pPr>
        <w:rPr>
          <w:sz w:val="20"/>
          <w:szCs w:val="20"/>
        </w:rPr>
      </w:pPr>
      <w:r>
        <w:rPr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sz w:val="20"/>
            <w:szCs w:val="20"/>
          </w:rPr>
          <m:t>π</m:t>
        </m:r>
      </m:oMath>
      <w:r>
        <w:rPr>
          <w:sz w:val="20"/>
          <w:szCs w:val="20"/>
        </w:rPr>
        <w:t xml:space="preserve"> at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then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=a</m:t>
        </m:r>
      </m:oMath>
      <w:r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=s</m:t>
        </m:r>
      </m:oMath>
      <w:r>
        <w:rPr>
          <w:sz w:val="20"/>
          <w:szCs w:val="20"/>
        </w:rPr>
        <w:t xml:space="preserve">. Note that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sz w:val="20"/>
          <w:szCs w:val="20"/>
        </w:rPr>
        <w:t xml:space="preserve"> for each </w:t>
      </w:r>
      <m:oMath>
        <m:r>
          <w:rPr>
            <w:rFonts w:ascii="Cambria Math" w:hAnsi="Cambria Math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</m:t>
        </m:r>
      </m:oMath>
      <w:r>
        <w:rPr>
          <w:sz w:val="20"/>
          <w:szCs w:val="20"/>
        </w:rPr>
        <w:t>.</w:t>
      </w:r>
    </w:p>
    <w:p w14:paraId="79783135" w14:textId="77777777" w:rsidR="002C7A81" w:rsidRDefault="002C7A81">
      <w:pPr>
        <w:rPr>
          <w:rFonts w:eastAsiaTheme="minorEastAsia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3F29BB1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61C2BBE8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</w:t>
      </w:r>
      <w:r w:rsidR="00393128">
        <w:rPr>
          <w:rFonts w:eastAsiaTheme="minorEastAsia"/>
        </w:rPr>
        <w:t>(a.dsc.1)</w:t>
      </w:r>
    </w:p>
    <w:p w14:paraId="1839E900" w14:textId="1D63DF45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u</m:t>
                </m:r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u</m:t>
                </m:r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1AD5F459" w14:textId="3AD7E88B" w:rsidR="00AC4437" w:rsidRDefault="00393128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6D347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59D39D91" w:rsidR="00E43DE4" w:rsidRDefault="00E43DE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u</m:t>
                </m:r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  <m:r>
                      <w:rPr>
                        <w:rFonts w:ascii="Cambria Math" w:eastAsiaTheme="minorEastAsia" w:hAnsi="Cambria Math"/>
                      </w:rPr>
                      <m:t xml:space="preserve">, 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</w:t>
      </w:r>
      <w:r w:rsidR="00515A39">
        <w:rPr>
          <w:rFonts w:eastAsiaTheme="minorEastAsia"/>
        </w:rPr>
        <w:t>(a1.svf.</w:t>
      </w:r>
      <w:r w:rsidR="00515A39">
        <w:rPr>
          <w:rFonts w:eastAsiaTheme="minorEastAsia"/>
        </w:rPr>
        <w:t>2</w:t>
      </w:r>
      <w:r w:rsidR="00515A39">
        <w:rPr>
          <w:rFonts w:eastAsiaTheme="minorEastAsia"/>
        </w:rPr>
        <w:t>)</w:t>
      </w:r>
    </w:p>
    <w:p w14:paraId="708D5FF8" w14:textId="77777777" w:rsidR="00197F47" w:rsidRDefault="00197F47">
      <w:pPr>
        <w:rPr>
          <w:rFonts w:eastAsiaTheme="minorEastAsia"/>
        </w:rPr>
      </w:pPr>
    </w:p>
    <w:p w14:paraId="0A09D877" w14:textId="351ADBA2" w:rsidR="00197F47" w:rsidRDefault="00197F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</m:t>
                </m:r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AB1B3E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nary>
          </m:e>
        </m:d>
      </m:oMath>
      <w:r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.s</w:t>
      </w:r>
      <w:r>
        <w:rPr>
          <w:rFonts w:eastAsiaTheme="minorEastAsia"/>
        </w:rPr>
        <w:t>a</w:t>
      </w:r>
      <w:r>
        <w:rPr>
          <w:rFonts w:eastAsiaTheme="minorEastAsia"/>
        </w:rPr>
        <w:t>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7E64D088" w:rsidR="006B1663" w:rsidRDefault="00C75DE8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  <m:r>
                      <w:rPr>
                        <w:rFonts w:ascii="Cambria Math" w:eastAsiaTheme="minorEastAsia" w:hAnsi="Cambria Math"/>
                      </w:rPr>
                      <m:t xml:space="preserve">, 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 xml:space="preserve">, </m:t>
                    </m:r>
                    <m:r>
                      <w:rPr>
                        <w:rFonts w:ascii="Cambria Math" w:eastAsiaTheme="minorEastAsia" w:hAnsi="Cambria Math"/>
                      </w:rPr>
                      <m:t xml:space="preserve">u, 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4C47DB5" w:rsidR="006C6740" w:rsidRDefault="0054747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| u ~ </m:t>
            </m:r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</m:t>
                </m:r>
                <m:r>
                  <w:rPr>
                    <w:rFonts w:ascii="Cambria Math" w:eastAsiaTheme="minorEastAsia" w:hAnsi="Cambria Math"/>
                  </w:rPr>
                  <m:t>∙</m:t>
                </m:r>
              </m:e>
            </m:d>
          </m:e>
        </m:d>
      </m:oMath>
      <w:r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 xml:space="preserve">We can derive the recursive form of the latter by manipulating further </w:t>
      </w:r>
      <w:r>
        <w:rPr>
          <w:rFonts w:eastAsiaTheme="minorEastAsia"/>
        </w:rPr>
        <w:t>(a1.svf.1)</w:t>
      </w:r>
      <w:r>
        <w:rPr>
          <w:rFonts w:eastAsiaTheme="minorEastAsia"/>
        </w:rPr>
        <w:t xml:space="preserve"> and </w:t>
      </w:r>
      <w:r>
        <w:rPr>
          <w:rFonts w:eastAsiaTheme="minorEastAsia"/>
        </w:rPr>
        <w:t>(a1.savf.1)</w:t>
      </w:r>
      <w:r>
        <w:rPr>
          <w:rFonts w:eastAsiaTheme="minorEastAsia"/>
        </w:rPr>
        <w:t>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388D2639" w:rsidR="001A0BA9" w:rsidRDefault="007B19C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u</m:t>
                </m:r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6D7D26A2" w:rsidR="00C11A00" w:rsidRDefault="001C4032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</w:rPr>
                  <m:t xml:space="preserve">u,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 xml:space="preserve">u,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du </m:t>
            </m:r>
          </m:e>
        </m:nary>
      </m:oMath>
      <w:r w:rsidR="00B65768">
        <w:rPr>
          <w:rFonts w:eastAsiaTheme="minorEastAsia"/>
        </w:rPr>
        <w:t xml:space="preserve"> </w:t>
      </w:r>
    </w:p>
    <w:p w14:paraId="17D6E546" w14:textId="77777777" w:rsidR="00C11A00" w:rsidRDefault="00C11A00">
      <w:pPr>
        <w:rPr>
          <w:rFonts w:eastAsiaTheme="minorEastAsia"/>
        </w:rPr>
      </w:pPr>
    </w:p>
    <w:p w14:paraId="193DA71F" w14:textId="77777777" w:rsidR="001654FE" w:rsidRDefault="001654FE">
      <w:pPr>
        <w:rPr>
          <w:rFonts w:eastAsiaTheme="minorEastAsia"/>
        </w:rPr>
      </w:pPr>
    </w:p>
    <w:p w14:paraId="71DD3F78" w14:textId="77777777" w:rsidR="001654FE" w:rsidRDefault="001654FE">
      <w:pPr>
        <w:rPr>
          <w:rFonts w:eastAsiaTheme="minorEastAsia"/>
        </w:rPr>
      </w:pPr>
    </w:p>
    <w:p w14:paraId="358775F6" w14:textId="625C0557" w:rsidR="007B19C4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 xml:space="preserve">From </w:t>
      </w:r>
      <w:r w:rsidR="000938ED">
        <w:rPr>
          <w:rFonts w:eastAsiaTheme="minorEastAsia"/>
        </w:rPr>
        <w:t>(a1.svf.1)</w:t>
      </w:r>
      <w:r w:rsidR="000938ED">
        <w:rPr>
          <w:rFonts w:eastAsiaTheme="minorEastAsia"/>
        </w:rPr>
        <w:t xml:space="preserve"> and </w:t>
      </w:r>
      <w:r w:rsidR="000938ED">
        <w:rPr>
          <w:rFonts w:eastAsiaTheme="minorEastAsia"/>
        </w:rPr>
        <w:t>(a1.cfun.1)</w:t>
      </w:r>
    </w:p>
    <w:p w14:paraId="0AF8F38A" w14:textId="18AC33EC" w:rsidR="001A0BA9" w:rsidRDefault="000938E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37165261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1F358B2D" w14:textId="77777777" w:rsidR="00483846" w:rsidRPr="00FD26CA" w:rsidRDefault="00483846"/>
    <w:p w14:paraId="15A8126B" w14:textId="77777777" w:rsidR="00483846" w:rsidRPr="00FD26CA" w:rsidRDefault="00483846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588C94F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6B7806D6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7D91"/>
    <w:rsid w:val="000544C4"/>
    <w:rsid w:val="00072C53"/>
    <w:rsid w:val="00080A18"/>
    <w:rsid w:val="000938ED"/>
    <w:rsid w:val="00094628"/>
    <w:rsid w:val="000A0139"/>
    <w:rsid w:val="000A261E"/>
    <w:rsid w:val="000D4770"/>
    <w:rsid w:val="00102708"/>
    <w:rsid w:val="00102B87"/>
    <w:rsid w:val="00110871"/>
    <w:rsid w:val="00114284"/>
    <w:rsid w:val="00143D6A"/>
    <w:rsid w:val="00156ADC"/>
    <w:rsid w:val="001654FE"/>
    <w:rsid w:val="00197F47"/>
    <w:rsid w:val="001A0BA9"/>
    <w:rsid w:val="001A617B"/>
    <w:rsid w:val="001C4032"/>
    <w:rsid w:val="00221575"/>
    <w:rsid w:val="002658B0"/>
    <w:rsid w:val="0028631B"/>
    <w:rsid w:val="002943D0"/>
    <w:rsid w:val="00295EF9"/>
    <w:rsid w:val="002C7A81"/>
    <w:rsid w:val="002D6164"/>
    <w:rsid w:val="0033559D"/>
    <w:rsid w:val="003630DC"/>
    <w:rsid w:val="00393128"/>
    <w:rsid w:val="003B2FBD"/>
    <w:rsid w:val="004030FE"/>
    <w:rsid w:val="004156D3"/>
    <w:rsid w:val="00483846"/>
    <w:rsid w:val="004C307B"/>
    <w:rsid w:val="004D79F2"/>
    <w:rsid w:val="004F72D5"/>
    <w:rsid w:val="005154CE"/>
    <w:rsid w:val="00515A39"/>
    <w:rsid w:val="0053777D"/>
    <w:rsid w:val="00545820"/>
    <w:rsid w:val="00547474"/>
    <w:rsid w:val="005754C1"/>
    <w:rsid w:val="005F5DE7"/>
    <w:rsid w:val="00640A6A"/>
    <w:rsid w:val="006B1663"/>
    <w:rsid w:val="006C6740"/>
    <w:rsid w:val="006D3470"/>
    <w:rsid w:val="0070153E"/>
    <w:rsid w:val="00721EF6"/>
    <w:rsid w:val="0074092F"/>
    <w:rsid w:val="0076273D"/>
    <w:rsid w:val="007A2357"/>
    <w:rsid w:val="007B19C4"/>
    <w:rsid w:val="007B451F"/>
    <w:rsid w:val="007C00C1"/>
    <w:rsid w:val="007C24FF"/>
    <w:rsid w:val="007D12AE"/>
    <w:rsid w:val="00867B2D"/>
    <w:rsid w:val="00883565"/>
    <w:rsid w:val="008C6951"/>
    <w:rsid w:val="008D74BF"/>
    <w:rsid w:val="008F33C4"/>
    <w:rsid w:val="00907612"/>
    <w:rsid w:val="00912373"/>
    <w:rsid w:val="0093153F"/>
    <w:rsid w:val="009445E8"/>
    <w:rsid w:val="009555F6"/>
    <w:rsid w:val="0096679F"/>
    <w:rsid w:val="00976C67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B1B3E"/>
    <w:rsid w:val="00AB5545"/>
    <w:rsid w:val="00AC4437"/>
    <w:rsid w:val="00AD2000"/>
    <w:rsid w:val="00AF1CF8"/>
    <w:rsid w:val="00B65768"/>
    <w:rsid w:val="00B75ED3"/>
    <w:rsid w:val="00BC0F65"/>
    <w:rsid w:val="00BC5D3F"/>
    <w:rsid w:val="00C00E11"/>
    <w:rsid w:val="00C11A00"/>
    <w:rsid w:val="00C7401B"/>
    <w:rsid w:val="00C75DE8"/>
    <w:rsid w:val="00CC14E1"/>
    <w:rsid w:val="00D41201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80F51"/>
    <w:rsid w:val="00F81EF1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danieltakeshi.github.io/2017/04/02/notes-on-the-generalized-advantage-estimation-paper/" TargetMode="External"/><Relationship Id="rId18" Type="http://schemas.openxmlformats.org/officeDocument/2006/relationships/hyperlink" Target="https://cameronrwolfe.substack.com/p/ppo-ll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17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8</Pages>
  <Words>1767</Words>
  <Characters>10075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59</cp:revision>
  <dcterms:created xsi:type="dcterms:W3CDTF">2026-01-04T23:53:00Z</dcterms:created>
  <dcterms:modified xsi:type="dcterms:W3CDTF">2026-01-08T06:57:00Z</dcterms:modified>
</cp:coreProperties>
</file>