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2AA70" w14:textId="77777777" w:rsidR="00E13DC2" w:rsidRPr="00E13DC2" w:rsidRDefault="00E13DC2" w:rsidP="00E13DC2">
      <w:pPr>
        <w:shd w:val="clear" w:color="auto" w:fill="FFFFFF"/>
        <w:spacing w:after="0" w:line="51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33"/>
          <w:szCs w:val="33"/>
        </w:rPr>
      </w:pPr>
      <w:r w:rsidRPr="00E13DC2">
        <w:rPr>
          <w:rFonts w:ascii="Times New Roman" w:eastAsia="Times New Roman" w:hAnsi="Times New Roman" w:cs="Times New Roman"/>
          <w:color w:val="000000"/>
          <w:kern w:val="36"/>
          <w:sz w:val="33"/>
          <w:szCs w:val="33"/>
        </w:rPr>
        <w:t>Creativity through abductive reasoning</w:t>
      </w:r>
    </w:p>
    <w:p w14:paraId="3261710A" w14:textId="77777777" w:rsidR="00E13DC2" w:rsidRPr="00E13DC2" w:rsidRDefault="00E13DC2" w:rsidP="00E13DC2">
      <w:p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888888"/>
          <w:sz w:val="15"/>
          <w:szCs w:val="15"/>
        </w:rPr>
      </w:pPr>
      <w:r w:rsidRPr="00E13DC2">
        <w:rPr>
          <w:rFonts w:ascii="Times New Roman" w:eastAsia="Times New Roman" w:hAnsi="Times New Roman" w:cs="Times New Roman"/>
          <w:i/>
          <w:iCs/>
          <w:color w:val="888888"/>
          <w:sz w:val="15"/>
          <w:szCs w:val="15"/>
        </w:rPr>
        <w:t>by</w:t>
      </w:r>
      <w:r w:rsidRPr="00E13DC2">
        <w:rPr>
          <w:rFonts w:ascii="Times New Roman" w:eastAsia="Times New Roman" w:hAnsi="Times New Roman" w:cs="Times New Roman"/>
          <w:color w:val="888888"/>
          <w:sz w:val="15"/>
          <w:szCs w:val="15"/>
        </w:rPr>
        <w:t> </w:t>
      </w:r>
      <w:r w:rsidRPr="00E13DC2">
        <w:rPr>
          <w:rFonts w:ascii="Times New Roman" w:eastAsia="Times New Roman" w:hAnsi="Times New Roman" w:cs="Times New Roman"/>
          <w:caps/>
          <w:color w:val="888888"/>
          <w:spacing w:val="15"/>
          <w:sz w:val="15"/>
          <w:szCs w:val="15"/>
        </w:rPr>
        <w:t>HOWARD SILVERMAN</w:t>
      </w:r>
      <w:r w:rsidRPr="00E13DC2">
        <w:rPr>
          <w:rFonts w:ascii="Times New Roman" w:eastAsia="Times New Roman" w:hAnsi="Times New Roman" w:cs="Times New Roman"/>
          <w:color w:val="888888"/>
          <w:sz w:val="15"/>
          <w:szCs w:val="15"/>
        </w:rPr>
        <w:t> </w:t>
      </w:r>
      <w:r w:rsidRPr="00E13DC2">
        <w:rPr>
          <w:rFonts w:ascii="Times New Roman" w:eastAsia="Times New Roman" w:hAnsi="Times New Roman" w:cs="Times New Roman"/>
          <w:i/>
          <w:iCs/>
          <w:color w:val="888888"/>
          <w:sz w:val="15"/>
          <w:szCs w:val="15"/>
        </w:rPr>
        <w:t>on</w:t>
      </w:r>
      <w:r w:rsidRPr="00E13DC2">
        <w:rPr>
          <w:rFonts w:ascii="Times New Roman" w:eastAsia="Times New Roman" w:hAnsi="Times New Roman" w:cs="Times New Roman"/>
          <w:color w:val="888888"/>
          <w:sz w:val="15"/>
          <w:szCs w:val="15"/>
        </w:rPr>
        <w:t> </w:t>
      </w:r>
      <w:r w:rsidRPr="00E13DC2">
        <w:rPr>
          <w:rFonts w:ascii="Times New Roman" w:eastAsia="Times New Roman" w:hAnsi="Times New Roman" w:cs="Times New Roman"/>
          <w:caps/>
          <w:color w:val="888888"/>
          <w:spacing w:val="15"/>
          <w:sz w:val="15"/>
          <w:szCs w:val="15"/>
        </w:rPr>
        <w:t>10 APR 2013</w:t>
      </w:r>
      <w:r w:rsidRPr="00E13DC2">
        <w:rPr>
          <w:rFonts w:ascii="Times New Roman" w:eastAsia="Times New Roman" w:hAnsi="Times New Roman" w:cs="Times New Roman"/>
          <w:color w:val="888888"/>
          <w:sz w:val="15"/>
          <w:szCs w:val="15"/>
        </w:rPr>
        <w:t> </w:t>
      </w:r>
      <w:hyperlink r:id="rId5" w:anchor="comments" w:history="1">
        <w:r w:rsidRPr="00E13DC2">
          <w:rPr>
            <w:rFonts w:ascii="Times New Roman" w:eastAsia="Times New Roman" w:hAnsi="Times New Roman" w:cs="Times New Roman"/>
            <w:caps/>
            <w:color w:val="111111"/>
            <w:spacing w:val="15"/>
            <w:sz w:val="15"/>
            <w:szCs w:val="15"/>
          </w:rPr>
          <w:t>1</w:t>
        </w:r>
        <w:r w:rsidRPr="00E13DC2">
          <w:rPr>
            <w:rFonts w:ascii="Times New Roman" w:eastAsia="Times New Roman" w:hAnsi="Times New Roman" w:cs="Times New Roman"/>
            <w:caps/>
            <w:color w:val="888888"/>
            <w:spacing w:val="15"/>
            <w:sz w:val="15"/>
            <w:szCs w:val="15"/>
            <w:u w:val="single"/>
          </w:rPr>
          <w:t> COMMENT</w:t>
        </w:r>
      </w:hyperlink>
    </w:p>
    <w:p w14:paraId="5F3A6B1E" w14:textId="77777777" w:rsidR="00E13DC2" w:rsidRPr="00E13DC2" w:rsidRDefault="00E13DC2" w:rsidP="00E13DC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Organizational and social innovation cannot happen without the emergence of novel practices, norms, and other institutions. In a word: creativity.</w:t>
      </w:r>
    </w:p>
    <w:p w14:paraId="5F2C399C" w14:textId="77777777" w:rsidR="00E13DC2" w:rsidRPr="00E13DC2" w:rsidRDefault="00E13DC2" w:rsidP="00E1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But how well is creativity understood, and to what extent can it be described as a process of </w:t>
      </w:r>
      <w:hyperlink r:id="rId6" w:history="1">
        <w:r w:rsidRPr="00E13DC2">
          <w:rPr>
            <w:rFonts w:ascii="Times New Roman" w:eastAsia="Times New Roman" w:hAnsi="Times New Roman" w:cs="Times New Roman"/>
            <w:i/>
            <w:iCs/>
            <w:color w:val="875959"/>
            <w:sz w:val="23"/>
            <w:szCs w:val="23"/>
            <w:u w:val="single"/>
          </w:rPr>
          <w:t>abductive reasoning</w:t>
        </w:r>
      </w:hyperlink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? — as referenced in recent talks and articles by </w:t>
      </w:r>
      <w:hyperlink r:id="rId7" w:history="1">
        <w:r w:rsidRPr="00E13DC2">
          <w:rPr>
            <w:rFonts w:ascii="Times New Roman" w:eastAsia="Times New Roman" w:hAnsi="Times New Roman" w:cs="Times New Roman"/>
            <w:color w:val="875959"/>
            <w:sz w:val="23"/>
            <w:szCs w:val="23"/>
            <w:u w:val="single"/>
          </w:rPr>
          <w:t>Roger Martin</w:t>
        </w:r>
      </w:hyperlink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 in Design Observer, </w:t>
      </w:r>
      <w:hyperlink r:id="rId8" w:history="1">
        <w:r w:rsidRPr="00E13DC2">
          <w:rPr>
            <w:rFonts w:ascii="Times New Roman" w:eastAsia="Times New Roman" w:hAnsi="Times New Roman" w:cs="Times New Roman"/>
            <w:color w:val="875959"/>
            <w:sz w:val="23"/>
            <w:szCs w:val="23"/>
            <w:u w:val="single"/>
          </w:rPr>
          <w:t>Carl Steinitz</w:t>
        </w:r>
      </w:hyperlink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 at the </w:t>
      </w:r>
      <w:proofErr w:type="spellStart"/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GeoDesign</w:t>
      </w:r>
      <w:proofErr w:type="spellEnd"/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 Summit, </w:t>
      </w:r>
      <w:hyperlink r:id="rId9" w:history="1">
        <w:r w:rsidRPr="00E13DC2">
          <w:rPr>
            <w:rFonts w:ascii="Times New Roman" w:eastAsia="Times New Roman" w:hAnsi="Times New Roman" w:cs="Times New Roman"/>
            <w:color w:val="875959"/>
            <w:sz w:val="23"/>
            <w:szCs w:val="23"/>
            <w:u w:val="single"/>
          </w:rPr>
          <w:t>Jon Kolko</w:t>
        </w:r>
      </w:hyperlink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 in Stanford Social Innovation Review, and </w:t>
      </w:r>
      <w:hyperlink r:id="rId10" w:history="1">
        <w:r w:rsidRPr="00E13DC2">
          <w:rPr>
            <w:rFonts w:ascii="Times New Roman" w:eastAsia="Times New Roman" w:hAnsi="Times New Roman" w:cs="Times New Roman"/>
            <w:color w:val="875959"/>
            <w:sz w:val="23"/>
            <w:szCs w:val="23"/>
            <w:u w:val="single"/>
          </w:rPr>
          <w:t>Dan Berrett</w:t>
        </w:r>
      </w:hyperlink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 in </w:t>
      </w:r>
      <w:r w:rsidRPr="00E13DC2">
        <w:rPr>
          <w:rFonts w:ascii="Times New Roman" w:eastAsia="Times New Roman" w:hAnsi="Times New Roman" w:cs="Times New Roman"/>
          <w:i/>
          <w:iCs/>
          <w:color w:val="111111"/>
          <w:sz w:val="23"/>
          <w:szCs w:val="23"/>
        </w:rPr>
        <w:t>The Chronicle of Higher Education.</w:t>
      </w:r>
    </w:p>
    <w:p w14:paraId="3EAAFC19" w14:textId="77777777" w:rsidR="00E13DC2" w:rsidRPr="00E13DC2" w:rsidRDefault="00E13DC2" w:rsidP="00E1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“The abductive suggestion comes to us like a flash. It is an act of insight, although of extremely fallible insight,” wrote philosopher and logician </w:t>
      </w:r>
      <w:hyperlink r:id="rId11" w:history="1">
        <w:r w:rsidRPr="00E13DC2">
          <w:rPr>
            <w:rFonts w:ascii="Times New Roman" w:eastAsia="Times New Roman" w:hAnsi="Times New Roman" w:cs="Times New Roman"/>
            <w:color w:val="875959"/>
            <w:sz w:val="23"/>
            <w:szCs w:val="23"/>
            <w:u w:val="single"/>
          </w:rPr>
          <w:t>Charles Sanders Peirce</w:t>
        </w:r>
      </w:hyperlink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.</w:t>
      </w:r>
    </w:p>
    <w:p w14:paraId="40963089" w14:textId="77777777" w:rsidR="00E13DC2" w:rsidRPr="00E13DC2" w:rsidRDefault="00E13DC2" w:rsidP="00E1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“The very possibility of abduction is a little uncanny,” marveled cyberneticist </w:t>
      </w:r>
      <w:hyperlink r:id="rId12" w:history="1">
        <w:r w:rsidRPr="00E13DC2">
          <w:rPr>
            <w:rFonts w:ascii="Times New Roman" w:eastAsia="Times New Roman" w:hAnsi="Times New Roman" w:cs="Times New Roman"/>
            <w:color w:val="875959"/>
            <w:sz w:val="23"/>
            <w:szCs w:val="23"/>
            <w:u w:val="single"/>
          </w:rPr>
          <w:t>Gregory Bateson</w:t>
        </w:r>
      </w:hyperlink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, “and the phenomenon is enormously more widespread than [one] might, at first thought, have supposed.”</w:t>
      </w:r>
    </w:p>
    <w:p w14:paraId="5CD0CF5C" w14:textId="77777777" w:rsidR="00E13DC2" w:rsidRPr="00E13DC2" w:rsidRDefault="00E13DC2" w:rsidP="00E13DC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Here’s how Peirce outlined the process in 1903: “The surprising fact, C, is observed; But if A were true, C would be a matter of course; Hence, there is reason to suspect that A is true.”</w:t>
      </w:r>
    </w:p>
    <w:p w14:paraId="51AFE339" w14:textId="77777777" w:rsidR="00E13DC2" w:rsidRPr="00E13DC2" w:rsidRDefault="00E13DC2" w:rsidP="00E13DC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For example: I observe that birds can fly; But if the magic of flight were in the wings, then the fact that birds can fly would be a matter of course; Hence, I suspect that the magic of flight is in the wings, and I build a machine with wings to see if it enables me to fly.</w:t>
      </w:r>
    </w:p>
    <w:p w14:paraId="63ACE3A3" w14:textId="77777777" w:rsidR="00E13DC2" w:rsidRPr="00E13DC2" w:rsidRDefault="00E13DC2" w:rsidP="00E1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Abduction, as defined in </w:t>
      </w:r>
      <w:r w:rsidRPr="00E13DC2">
        <w:rPr>
          <w:rFonts w:ascii="Times New Roman" w:eastAsia="Times New Roman" w:hAnsi="Times New Roman" w:cs="Times New Roman"/>
          <w:i/>
          <w:iCs/>
          <w:color w:val="111111"/>
          <w:sz w:val="23"/>
          <w:szCs w:val="23"/>
        </w:rPr>
        <w:t>The Compact Oxford English Dictionary</w:t>
      </w: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: “A syllogism, of which the major </w:t>
      </w:r>
      <w:proofErr w:type="spellStart"/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premiss</w:t>
      </w:r>
      <w:proofErr w:type="spellEnd"/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 xml:space="preserve"> is certain, and the minor only probable, so that the conclusion has only the probability of the minor.”</w:t>
      </w:r>
    </w:p>
    <w:p w14:paraId="7AA5CD90" w14:textId="77777777" w:rsidR="00E13DC2" w:rsidRPr="00E13DC2" w:rsidRDefault="00E13DC2" w:rsidP="00E13DC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In an 1878 essay, Peirce referred to this process as hypothesis making, a form of synthetic inference along with — yet distinct from — the process of induction.</w:t>
      </w:r>
    </w:p>
    <w:p w14:paraId="45CBF5FD" w14:textId="4BDD1F47" w:rsidR="00E13DC2" w:rsidRPr="00E13DC2" w:rsidRDefault="00E13DC2" w:rsidP="00E1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noProof/>
          <w:color w:val="111111"/>
          <w:sz w:val="23"/>
          <w:szCs w:val="23"/>
        </w:rPr>
        <w:drawing>
          <wp:inline distT="0" distB="0" distL="0" distR="0" wp14:anchorId="71FFA5DB" wp14:editId="729150FE">
            <wp:extent cx="5589905" cy="1343660"/>
            <wp:effectExtent l="0" t="0" r="0" b="8890"/>
            <wp:docPr id="3" name="Picture 3" descr="Peirce inference analytic and synth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irce inference analytic and synthet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BB4F" w14:textId="77777777" w:rsidR="00E13DC2" w:rsidRPr="00E13DC2" w:rsidRDefault="00E13DC2" w:rsidP="00E1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Here is a comparison of syllogisms, adapted from </w:t>
      </w:r>
      <w:hyperlink r:id="rId14" w:history="1">
        <w:r w:rsidRPr="00E13DC2">
          <w:rPr>
            <w:rFonts w:ascii="Times New Roman" w:eastAsia="Times New Roman" w:hAnsi="Times New Roman" w:cs="Times New Roman"/>
            <w:color w:val="875959"/>
            <w:sz w:val="23"/>
            <w:szCs w:val="23"/>
            <w:u w:val="single"/>
          </w:rPr>
          <w:t>Julie Hui</w:t>
        </w:r>
      </w:hyperlink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, </w:t>
      </w:r>
      <w:hyperlink r:id="rId15" w:history="1">
        <w:r w:rsidRPr="00E13DC2">
          <w:rPr>
            <w:rFonts w:ascii="Times New Roman" w:eastAsia="Times New Roman" w:hAnsi="Times New Roman" w:cs="Times New Roman"/>
            <w:color w:val="875959"/>
            <w:sz w:val="23"/>
            <w:szCs w:val="23"/>
            <w:u w:val="single"/>
          </w:rPr>
          <w:t>Tyrone Cashman</w:t>
        </w:r>
      </w:hyperlink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, and </w:t>
      </w:r>
      <w:hyperlink r:id="rId16" w:history="1">
        <w:r w:rsidRPr="00E13DC2">
          <w:rPr>
            <w:rFonts w:ascii="Times New Roman" w:eastAsia="Times New Roman" w:hAnsi="Times New Roman" w:cs="Times New Roman"/>
            <w:color w:val="875959"/>
            <w:sz w:val="23"/>
            <w:szCs w:val="23"/>
            <w:u w:val="single"/>
          </w:rPr>
          <w:t>Terrence Deacon</w:t>
        </w:r>
      </w:hyperlink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.</w:t>
      </w:r>
    </w:p>
    <w:p w14:paraId="30269BB8" w14:textId="16C4516C" w:rsidR="00E13DC2" w:rsidRPr="00E13DC2" w:rsidRDefault="00E13DC2" w:rsidP="00E1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noProof/>
          <w:color w:val="111111"/>
          <w:sz w:val="23"/>
          <w:szCs w:val="23"/>
        </w:rPr>
        <w:lastRenderedPageBreak/>
        <w:drawing>
          <wp:inline distT="0" distB="0" distL="0" distR="0" wp14:anchorId="778AB6D8" wp14:editId="5F27D933">
            <wp:extent cx="5589905" cy="2313940"/>
            <wp:effectExtent l="0" t="0" r="0" b="0"/>
            <wp:docPr id="2" name="Picture 2" descr="deductive inductive abductive syllogi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ductive inductive abductive syllogism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A966" w14:textId="77777777" w:rsidR="00E13DC2" w:rsidRPr="00E13DC2" w:rsidRDefault="00E13DC2" w:rsidP="00E1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And here is a comparison of processes, adapted from </w:t>
      </w:r>
      <w:hyperlink r:id="rId18" w:history="1">
        <w:r w:rsidRPr="00E13DC2">
          <w:rPr>
            <w:rFonts w:ascii="Times New Roman" w:eastAsia="Times New Roman" w:hAnsi="Times New Roman" w:cs="Times New Roman"/>
            <w:color w:val="875959"/>
            <w:sz w:val="23"/>
            <w:szCs w:val="23"/>
            <w:u w:val="single"/>
          </w:rPr>
          <w:t>Hans Rudi Fischer</w:t>
        </w:r>
      </w:hyperlink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. Solid boxes contain premises that are presupposed as true; dashed boxes contain premises that are inferred.</w:t>
      </w:r>
    </w:p>
    <w:p w14:paraId="69DF99CD" w14:textId="47D96F4A" w:rsidR="00E13DC2" w:rsidRPr="00E13DC2" w:rsidRDefault="00E13DC2" w:rsidP="00E1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noProof/>
          <w:color w:val="111111"/>
          <w:sz w:val="23"/>
          <w:szCs w:val="23"/>
        </w:rPr>
        <w:drawing>
          <wp:inline distT="0" distB="0" distL="0" distR="0" wp14:anchorId="1F957914" wp14:editId="4B5CF2BF">
            <wp:extent cx="5589905" cy="3112770"/>
            <wp:effectExtent l="0" t="0" r="0" b="0"/>
            <wp:docPr id="1" name="Picture 1" descr="forms of i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of infer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2EF4" w14:textId="77777777" w:rsidR="00E13DC2" w:rsidRPr="00E13DC2" w:rsidRDefault="00E13DC2" w:rsidP="00E1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Worth noting: In addition to the terms hypothesis and abduction, Peirce also referred to this form of reasoning as </w:t>
      </w:r>
      <w:proofErr w:type="spellStart"/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fldChar w:fldCharType="begin"/>
      </w: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instrText xml:space="preserve"> HYPERLINK "http://en.wikipedia.org/wiki/Retroduction" </w:instrText>
      </w: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fldChar w:fldCharType="separate"/>
      </w:r>
      <w:r w:rsidRPr="00E13DC2">
        <w:rPr>
          <w:rFonts w:ascii="Times New Roman" w:eastAsia="Times New Roman" w:hAnsi="Times New Roman" w:cs="Times New Roman"/>
          <w:i/>
          <w:iCs/>
          <w:color w:val="875959"/>
          <w:sz w:val="23"/>
          <w:szCs w:val="23"/>
          <w:u w:val="single"/>
        </w:rPr>
        <w:t>retroduction</w:t>
      </w:r>
      <w:proofErr w:type="spellEnd"/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fldChar w:fldCharType="end"/>
      </w: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 — and wrote in 1911:</w:t>
      </w:r>
    </w:p>
    <w:p w14:paraId="4E422C8B" w14:textId="77777777" w:rsidR="00E13DC2" w:rsidRPr="00E13DC2" w:rsidRDefault="00E13DC2" w:rsidP="00E13DC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1616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616161"/>
          <w:sz w:val="23"/>
          <w:szCs w:val="23"/>
        </w:rPr>
        <w:t>I do not, at present, feel quite convinced that any logical form can be assigned that will cover all ‘</w:t>
      </w:r>
      <w:proofErr w:type="spellStart"/>
      <w:r w:rsidRPr="00E13DC2">
        <w:rPr>
          <w:rFonts w:ascii="Times New Roman" w:eastAsia="Times New Roman" w:hAnsi="Times New Roman" w:cs="Times New Roman"/>
          <w:color w:val="616161"/>
          <w:sz w:val="23"/>
          <w:szCs w:val="23"/>
        </w:rPr>
        <w:t>Retroductions</w:t>
      </w:r>
      <w:proofErr w:type="spellEnd"/>
      <w:r w:rsidRPr="00E13DC2">
        <w:rPr>
          <w:rFonts w:ascii="Times New Roman" w:eastAsia="Times New Roman" w:hAnsi="Times New Roman" w:cs="Times New Roman"/>
          <w:color w:val="616161"/>
          <w:sz w:val="23"/>
          <w:szCs w:val="23"/>
        </w:rPr>
        <w:t xml:space="preserve">’. For what I mean by a </w:t>
      </w:r>
      <w:proofErr w:type="spellStart"/>
      <w:r w:rsidRPr="00E13DC2">
        <w:rPr>
          <w:rFonts w:ascii="Times New Roman" w:eastAsia="Times New Roman" w:hAnsi="Times New Roman" w:cs="Times New Roman"/>
          <w:color w:val="616161"/>
          <w:sz w:val="23"/>
          <w:szCs w:val="23"/>
        </w:rPr>
        <w:t>Retroduction</w:t>
      </w:r>
      <w:proofErr w:type="spellEnd"/>
      <w:r w:rsidRPr="00E13DC2">
        <w:rPr>
          <w:rFonts w:ascii="Times New Roman" w:eastAsia="Times New Roman" w:hAnsi="Times New Roman" w:cs="Times New Roman"/>
          <w:color w:val="616161"/>
          <w:sz w:val="23"/>
          <w:szCs w:val="23"/>
        </w:rPr>
        <w:t xml:space="preserve"> is simply a conjecture which arises in the mind.</w:t>
      </w:r>
    </w:p>
    <w:p w14:paraId="5BB3AB88" w14:textId="77777777" w:rsidR="00E13DC2" w:rsidRPr="00E13DC2" w:rsidRDefault="00E13DC2" w:rsidP="00E13DC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111111"/>
          <w:sz w:val="23"/>
          <w:szCs w:val="23"/>
        </w:rPr>
      </w:pPr>
      <w:r w:rsidRPr="00E13DC2">
        <w:rPr>
          <w:rFonts w:ascii="Times New Roman" w:eastAsia="Times New Roman" w:hAnsi="Times New Roman" w:cs="Times New Roman"/>
          <w:color w:val="111111"/>
          <w:sz w:val="23"/>
          <w:szCs w:val="23"/>
        </w:rPr>
        <w:t>References:</w:t>
      </w:r>
    </w:p>
    <w:p w14:paraId="16C874D9" w14:textId="77777777" w:rsidR="00E13DC2" w:rsidRPr="00E13DC2" w:rsidRDefault="00E13DC2" w:rsidP="00E13DC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Merriweather" w:eastAsia="Times New Roman" w:hAnsi="Merriweather" w:cs="Times New Roman"/>
          <w:color w:val="111111"/>
          <w:sz w:val="21"/>
          <w:szCs w:val="21"/>
        </w:rPr>
      </w:pPr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Bateson, G. 1979. </w:t>
      </w:r>
      <w:hyperlink r:id="rId20" w:history="1">
        <w:r w:rsidRPr="00E13DC2">
          <w:rPr>
            <w:rFonts w:ascii="Merriweather" w:eastAsia="Times New Roman" w:hAnsi="Merriweather" w:cs="Times New Roman"/>
            <w:i/>
            <w:iCs/>
            <w:color w:val="875959"/>
            <w:sz w:val="21"/>
            <w:szCs w:val="21"/>
            <w:u w:val="single"/>
          </w:rPr>
          <w:t>Mind and Nature: A Necessary Unity</w:t>
        </w:r>
      </w:hyperlink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, p.157.</w:t>
      </w:r>
    </w:p>
    <w:p w14:paraId="233766A6" w14:textId="77777777" w:rsidR="00E13DC2" w:rsidRPr="00E13DC2" w:rsidRDefault="00E13DC2" w:rsidP="00E13DC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Merriweather" w:eastAsia="Times New Roman" w:hAnsi="Merriweather" w:cs="Times New Roman"/>
          <w:color w:val="111111"/>
          <w:sz w:val="21"/>
          <w:szCs w:val="21"/>
        </w:rPr>
      </w:pPr>
      <w:r w:rsidRPr="00E13DC2">
        <w:rPr>
          <w:rFonts w:ascii="Merriweather" w:eastAsia="Times New Roman" w:hAnsi="Merriweather" w:cs="Times New Roman"/>
          <w:i/>
          <w:iCs/>
          <w:color w:val="111111"/>
          <w:sz w:val="21"/>
          <w:szCs w:val="21"/>
        </w:rPr>
        <w:t>The Compact Oxford English Dictionary (Second Edition)</w:t>
      </w:r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. 1991.</w:t>
      </w:r>
    </w:p>
    <w:p w14:paraId="1F69C287" w14:textId="77777777" w:rsidR="00E13DC2" w:rsidRPr="00E13DC2" w:rsidRDefault="00E13DC2" w:rsidP="00E13DC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Merriweather" w:eastAsia="Times New Roman" w:hAnsi="Merriweather" w:cs="Times New Roman"/>
          <w:color w:val="111111"/>
          <w:sz w:val="21"/>
          <w:szCs w:val="21"/>
        </w:rPr>
      </w:pPr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Fischer, H. R. 2001. </w:t>
      </w:r>
      <w:hyperlink r:id="rId21" w:history="1">
        <w:r w:rsidRPr="00E13DC2">
          <w:rPr>
            <w:rFonts w:ascii="Merriweather" w:eastAsia="Times New Roman" w:hAnsi="Merriweather" w:cs="Times New Roman"/>
            <w:color w:val="875959"/>
            <w:sz w:val="21"/>
            <w:szCs w:val="21"/>
            <w:u w:val="single"/>
          </w:rPr>
          <w:t>Abductive Reasoning as a Way of Worldmaking</w:t>
        </w:r>
      </w:hyperlink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. Foundations of Science 6:361–383.</w:t>
      </w:r>
    </w:p>
    <w:p w14:paraId="37586ED0" w14:textId="77777777" w:rsidR="00E13DC2" w:rsidRPr="00E13DC2" w:rsidRDefault="00E13DC2" w:rsidP="00E13DC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Merriweather" w:eastAsia="Times New Roman" w:hAnsi="Merriweather" w:cs="Times New Roman"/>
          <w:color w:val="111111"/>
          <w:sz w:val="21"/>
          <w:szCs w:val="21"/>
        </w:rPr>
      </w:pPr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 xml:space="preserve">Hui, J., Cashman, T. and T. Deacon. 2008. Bateson’s Method: Double Description. What is it? How does it work? What do we learn? in J </w:t>
      </w:r>
      <w:proofErr w:type="spellStart"/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Hoffmeyer</w:t>
      </w:r>
      <w:proofErr w:type="spellEnd"/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 xml:space="preserve"> (ed.) </w:t>
      </w:r>
      <w:hyperlink r:id="rId22" w:history="1">
        <w:r w:rsidRPr="00E13DC2">
          <w:rPr>
            <w:rFonts w:ascii="Merriweather" w:eastAsia="Times New Roman" w:hAnsi="Merriweather" w:cs="Times New Roman"/>
            <w:i/>
            <w:iCs/>
            <w:color w:val="875959"/>
            <w:sz w:val="21"/>
            <w:szCs w:val="21"/>
            <w:u w:val="single"/>
          </w:rPr>
          <w:t>A Legacy for Living Systems: Gregory Bateson as Precursor to Biosemiotics</w:t>
        </w:r>
      </w:hyperlink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.</w:t>
      </w:r>
    </w:p>
    <w:p w14:paraId="569FFD20" w14:textId="77777777" w:rsidR="00E13DC2" w:rsidRPr="00E13DC2" w:rsidRDefault="00E13DC2" w:rsidP="00E13DC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Merriweather" w:eastAsia="Times New Roman" w:hAnsi="Merriweather" w:cs="Times New Roman"/>
          <w:color w:val="111111"/>
          <w:sz w:val="21"/>
          <w:szCs w:val="21"/>
        </w:rPr>
      </w:pPr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lastRenderedPageBreak/>
        <w:t xml:space="preserve">Peirce, C. S. 1878. Deduction, Induction, and Hypothesis, in N. Houser and C. </w:t>
      </w:r>
      <w:proofErr w:type="spellStart"/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Kloesel</w:t>
      </w:r>
      <w:proofErr w:type="spellEnd"/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 xml:space="preserve"> (eds. 1992) </w:t>
      </w:r>
      <w:hyperlink r:id="rId23" w:history="1">
        <w:r w:rsidRPr="00E13DC2">
          <w:rPr>
            <w:rFonts w:ascii="Merriweather" w:eastAsia="Times New Roman" w:hAnsi="Merriweather" w:cs="Times New Roman"/>
            <w:i/>
            <w:iCs/>
            <w:color w:val="875959"/>
            <w:sz w:val="21"/>
            <w:szCs w:val="21"/>
            <w:u w:val="single"/>
          </w:rPr>
          <w:t>The Essential Peirce, Volume 1</w:t>
        </w:r>
      </w:hyperlink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.</w:t>
      </w:r>
    </w:p>
    <w:p w14:paraId="52BE8D1D" w14:textId="77777777" w:rsidR="00E13DC2" w:rsidRPr="00E13DC2" w:rsidRDefault="00E13DC2" w:rsidP="00E13DC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Merriweather" w:eastAsia="Times New Roman" w:hAnsi="Merriweather" w:cs="Times New Roman"/>
          <w:color w:val="111111"/>
          <w:sz w:val="21"/>
          <w:szCs w:val="21"/>
        </w:rPr>
      </w:pPr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Peirce, C. S. 1903. Harvard Lectures on Pragmatism, in </w:t>
      </w:r>
      <w:r w:rsidRPr="00E13DC2">
        <w:rPr>
          <w:rFonts w:ascii="Merriweather" w:eastAsia="Times New Roman" w:hAnsi="Merriweather" w:cs="Times New Roman"/>
          <w:i/>
          <w:iCs/>
          <w:color w:val="111111"/>
          <w:sz w:val="21"/>
          <w:szCs w:val="21"/>
        </w:rPr>
        <w:t>Collected Papers v. 5</w:t>
      </w:r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, viewed at: </w:t>
      </w:r>
      <w:hyperlink r:id="rId24" w:history="1">
        <w:r w:rsidRPr="00E13DC2">
          <w:rPr>
            <w:rFonts w:ascii="Merriweather" w:eastAsia="Times New Roman" w:hAnsi="Merriweather" w:cs="Times New Roman"/>
            <w:color w:val="875959"/>
            <w:sz w:val="21"/>
            <w:szCs w:val="21"/>
            <w:u w:val="single"/>
          </w:rPr>
          <w:t>http://www.textlog.de/7664-2.html</w:t>
        </w:r>
      </w:hyperlink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.</w:t>
      </w:r>
    </w:p>
    <w:p w14:paraId="73387F3A" w14:textId="77777777" w:rsidR="00E13DC2" w:rsidRPr="00E13DC2" w:rsidRDefault="00E13DC2" w:rsidP="00E13DC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Merriweather" w:eastAsia="Times New Roman" w:hAnsi="Merriweather" w:cs="Times New Roman"/>
          <w:color w:val="111111"/>
          <w:sz w:val="21"/>
          <w:szCs w:val="21"/>
        </w:rPr>
      </w:pPr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 xml:space="preserve">Peirce, C. S. 1911. A Letter to J. H. </w:t>
      </w:r>
      <w:proofErr w:type="spellStart"/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Kehler</w:t>
      </w:r>
      <w:proofErr w:type="spellEnd"/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, in </w:t>
      </w:r>
      <w:r w:rsidRPr="00E13DC2">
        <w:rPr>
          <w:rFonts w:ascii="Merriweather" w:eastAsia="Times New Roman" w:hAnsi="Merriweather" w:cs="Times New Roman"/>
          <w:i/>
          <w:iCs/>
          <w:color w:val="111111"/>
          <w:sz w:val="21"/>
          <w:szCs w:val="21"/>
        </w:rPr>
        <w:t xml:space="preserve">New Elements of </w:t>
      </w:r>
      <w:proofErr w:type="spellStart"/>
      <w:r w:rsidRPr="00E13DC2">
        <w:rPr>
          <w:rFonts w:ascii="Merriweather" w:eastAsia="Times New Roman" w:hAnsi="Merriweather" w:cs="Times New Roman"/>
          <w:i/>
          <w:iCs/>
          <w:color w:val="111111"/>
          <w:sz w:val="21"/>
          <w:szCs w:val="21"/>
        </w:rPr>
        <w:t>Mathemaatics</w:t>
      </w:r>
      <w:proofErr w:type="spellEnd"/>
      <w:r w:rsidRPr="00E13DC2">
        <w:rPr>
          <w:rFonts w:ascii="Merriweather" w:eastAsia="Times New Roman" w:hAnsi="Merriweather" w:cs="Times New Roman"/>
          <w:i/>
          <w:iCs/>
          <w:color w:val="111111"/>
          <w:sz w:val="21"/>
          <w:szCs w:val="21"/>
        </w:rPr>
        <w:t> v. 3</w:t>
      </w:r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, viewed at: </w:t>
      </w:r>
      <w:hyperlink r:id="rId25" w:history="1">
        <w:r w:rsidRPr="00E13DC2">
          <w:rPr>
            <w:rFonts w:ascii="Merriweather" w:eastAsia="Times New Roman" w:hAnsi="Merriweather" w:cs="Times New Roman"/>
            <w:color w:val="875959"/>
            <w:sz w:val="21"/>
            <w:szCs w:val="21"/>
            <w:u w:val="single"/>
          </w:rPr>
          <w:t>http://www.helsinki.fi/science/commens/terms/retroduction.html</w:t>
        </w:r>
      </w:hyperlink>
      <w:r w:rsidRPr="00E13DC2">
        <w:rPr>
          <w:rFonts w:ascii="Merriweather" w:eastAsia="Times New Roman" w:hAnsi="Merriweather" w:cs="Times New Roman"/>
          <w:color w:val="111111"/>
          <w:sz w:val="21"/>
          <w:szCs w:val="21"/>
        </w:rPr>
        <w:t>.</w:t>
      </w:r>
    </w:p>
    <w:p w14:paraId="2B31859F" w14:textId="77777777" w:rsidR="00832BD1" w:rsidRDefault="00E13DC2"/>
    <w:sectPr w:rsidR="0083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7737A"/>
    <w:multiLevelType w:val="multilevel"/>
    <w:tmpl w:val="D49021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C2"/>
    <w:rsid w:val="00C46192"/>
    <w:rsid w:val="00E13DC2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2672"/>
  <w15:chartTrackingRefBased/>
  <w15:docId w15:val="{62D440E8-7186-4F5E-BECF-999866F0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authorintro">
    <w:name w:val="post_author_intro"/>
    <w:basedOn w:val="DefaultParagraphFont"/>
    <w:rsid w:val="00E13DC2"/>
  </w:style>
  <w:style w:type="character" w:customStyle="1" w:styleId="postauthor">
    <w:name w:val="post_author"/>
    <w:basedOn w:val="DefaultParagraphFont"/>
    <w:rsid w:val="00E13DC2"/>
  </w:style>
  <w:style w:type="character" w:customStyle="1" w:styleId="postdateintro">
    <w:name w:val="post_date_intro"/>
    <w:basedOn w:val="DefaultParagraphFont"/>
    <w:rsid w:val="00E13DC2"/>
  </w:style>
  <w:style w:type="character" w:customStyle="1" w:styleId="postdate">
    <w:name w:val="post_date"/>
    <w:basedOn w:val="DefaultParagraphFont"/>
    <w:rsid w:val="00E13DC2"/>
  </w:style>
  <w:style w:type="character" w:styleId="Hyperlink">
    <w:name w:val="Hyperlink"/>
    <w:basedOn w:val="DefaultParagraphFont"/>
    <w:uiPriority w:val="99"/>
    <w:semiHidden/>
    <w:unhideWhenUsed/>
    <w:rsid w:val="00E13DC2"/>
    <w:rPr>
      <w:color w:val="0000FF"/>
      <w:u w:val="single"/>
    </w:rPr>
  </w:style>
  <w:style w:type="character" w:customStyle="1" w:styleId="numcomments">
    <w:name w:val="num_comments"/>
    <w:basedOn w:val="DefaultParagraphFont"/>
    <w:rsid w:val="00E13DC2"/>
  </w:style>
  <w:style w:type="paragraph" w:styleId="NormalWeb">
    <w:name w:val="Normal (Web)"/>
    <w:basedOn w:val="Normal"/>
    <w:uiPriority w:val="99"/>
    <w:semiHidden/>
    <w:unhideWhenUsed/>
    <w:rsid w:val="00E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3D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1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113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vingforpattern.org/2012/11/12/carl-steinitz-design-strategies-and-method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hansrudifischer.d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ingentaconnect.com/content/klu/foda/2001/00000006/00000004/00335624" TargetMode="External"/><Relationship Id="rId7" Type="http://schemas.openxmlformats.org/officeDocument/2006/relationships/hyperlink" Target="http://observatory.designobserver.com/entry.html?entry=11097" TargetMode="External"/><Relationship Id="rId12" Type="http://schemas.openxmlformats.org/officeDocument/2006/relationships/hyperlink" Target="http://en.wikipedia.org/wiki/Gregory_Bateson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helsinki.fi/science/commens/terms/retrodu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Terrence_Deacon" TargetMode="External"/><Relationship Id="rId20" Type="http://schemas.openxmlformats.org/officeDocument/2006/relationships/hyperlink" Target="http://www.amazon.com/Mind-Nature-Necessary-Advances-Complexity/dp/15727343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bductive_reasoning" TargetMode="External"/><Relationship Id="rId11" Type="http://schemas.openxmlformats.org/officeDocument/2006/relationships/hyperlink" Target="http://en.wikipedia.org/wiki/Charles_Sanders_Peirce" TargetMode="External"/><Relationship Id="rId24" Type="http://schemas.openxmlformats.org/officeDocument/2006/relationships/hyperlink" Target="http://www.textlog.de/7664-2.html" TargetMode="External"/><Relationship Id="rId5" Type="http://schemas.openxmlformats.org/officeDocument/2006/relationships/hyperlink" Target="https://www.solvingforpattern.org/2013/04/10/creativity-through-abductive-reasoning/" TargetMode="External"/><Relationship Id="rId15" Type="http://schemas.openxmlformats.org/officeDocument/2006/relationships/hyperlink" Target="http://www.yatedo.com/p/Tyrone+Cashman/normal/6e14e4b4c3e6d55a1ca79ae07e393e7e" TargetMode="External"/><Relationship Id="rId23" Type="http://schemas.openxmlformats.org/officeDocument/2006/relationships/hyperlink" Target="http://www.amazon.com/Essential-Peirce-Philosophical-Writings%C2%82-1867-1893/dp/0253207215" TargetMode="External"/><Relationship Id="rId10" Type="http://schemas.openxmlformats.org/officeDocument/2006/relationships/hyperlink" Target="https://www.solvingforpattern.org/2013/04/05/chronicle-of-higher-ed-on-cultivating-creativity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ssireview.org/articles/entry/wicked_problems_problems_worth_solving" TargetMode="External"/><Relationship Id="rId14" Type="http://schemas.openxmlformats.org/officeDocument/2006/relationships/hyperlink" Target="http://berkeley.academia.edu/JulieHui" TargetMode="External"/><Relationship Id="rId22" Type="http://schemas.openxmlformats.org/officeDocument/2006/relationships/hyperlink" Target="http://www.amazon.com/Legacy-Living-Systems-Precursor-Biosemiotics/dp/1402067054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2020-12-10T04:17:00Z</dcterms:created>
  <dcterms:modified xsi:type="dcterms:W3CDTF">2020-12-10T04:18:00Z</dcterms:modified>
</cp:coreProperties>
</file>