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04E8B785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3A437EE2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29E7D845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B5415D">
        <w:rPr>
          <w:rFonts w:eastAsiaTheme="minorEastAsia"/>
          <w:i/>
          <w:iCs/>
        </w:rPr>
        <w:t>bitwise</w:t>
      </w:r>
      <w:r w:rsidR="00145771">
        <w:rPr>
          <w:rFonts w:eastAsiaTheme="minorEastAsia"/>
        </w:rPr>
        <w:t xml:space="preserve"> access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4B767AB5" w14:textId="79571E68" w:rsidR="00D755C1" w:rsidRPr="00145771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>the introduction of templ</w:t>
      </w:r>
      <w:r w:rsidR="000758A5">
        <w:rPr>
          <w:rFonts w:eastAsiaTheme="minorEastAsia"/>
        </w:rPr>
        <w:t>a</w:t>
      </w:r>
      <w:r w:rsidR="00A41A1A">
        <w:rPr>
          <w:rFonts w:eastAsiaTheme="minorEastAsia"/>
        </w:rPr>
        <w:t xml:space="preserve">tized property </w:t>
      </w:r>
      <w:r w:rsidR="000758A5">
        <w:rPr>
          <w:rFonts w:eastAsiaTheme="minorEastAsia"/>
        </w:rPr>
        <w:t xml:space="preserve">values </w:t>
      </w:r>
      <w:r w:rsidR="00A41A1A">
        <w:rPr>
          <w:rFonts w:eastAsiaTheme="minorEastAsia"/>
        </w:rPr>
        <w:t>will be desired for paradox detection in thought sequence.</w:t>
      </w:r>
      <w:r w:rsidR="000758A5">
        <w:rPr>
          <w:rFonts w:eastAsiaTheme="minorEastAsia"/>
        </w:rPr>
        <w:t xml:space="preserve"> </w:t>
      </w:r>
      <w:proofErr w:type="gramStart"/>
      <w:r w:rsidR="000758A5">
        <w:rPr>
          <w:rFonts w:eastAsiaTheme="minorEastAsia"/>
        </w:rPr>
        <w:t>Also</w:t>
      </w:r>
      <w:proofErr w:type="gramEnd"/>
      <w:r w:rsidR="000758A5"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>
        <w:rPr>
          <w:rFonts w:eastAsiaTheme="minorEastAsia"/>
        </w:rPr>
        <w:t xml:space="preserve">additive </w:t>
      </w:r>
      <w:r w:rsidR="00323501">
        <w:rPr>
          <w:rFonts w:eastAsiaTheme="minorEastAsia"/>
        </w:rPr>
        <w:t>overlap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 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6C8A7419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7777777" w:rsidR="00F65E92" w:rsidRDefault="00F65E92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</w:t>
      </w:r>
      <w:r w:rsidR="00A37585">
        <w:rPr>
          <w:rFonts w:eastAsiaTheme="minorEastAsia"/>
        </w:rPr>
        <w:lastRenderedPageBreak/>
        <w:t>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Vk+l Ak+l]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r>
        <w:t>V</w:t>
      </w:r>
      <w:r w:rsidR="00BD3BE6">
        <w:t>h</w:t>
      </w:r>
      <w:r w:rsidR="008D1B45">
        <w:t>_</w:t>
      </w:r>
      <w:r w:rsidR="00BD3BE6">
        <w:t>_                                                                  __Vq__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V</w:t>
      </w:r>
      <w:r w:rsidR="00BD3BE6">
        <w:t>a</w:t>
      </w:r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Vm      Vp     _Vr</w:t>
      </w:r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V</w:t>
      </w:r>
      <w:r w:rsidR="00BD3BE6">
        <w:t>b</w:t>
      </w:r>
      <w:r>
        <w:t xml:space="preserve">     V</w:t>
      </w:r>
      <w:r w:rsidR="00BD3BE6">
        <w:t xml:space="preserve">f            </w:t>
      </w:r>
      <w:r w:rsidR="008D1B45">
        <w:t xml:space="preserve">  </w:t>
      </w:r>
      <w:r w:rsidR="00BD3BE6">
        <w:t xml:space="preserve">Vk                                             Vn    Vl        Vs  </w:t>
      </w:r>
      <w:r w:rsidR="00651B74">
        <w:t xml:space="preserve"> </w:t>
      </w:r>
      <w:r w:rsidR="00BD3BE6">
        <w:t>Vt   Vk+l</w:t>
      </w:r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gramStart"/>
      <w:r>
        <w:t>dist(</w:t>
      </w:r>
      <w:proofErr w:type="gramEnd"/>
      <w:r>
        <w:t>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104AF2"/>
    <w:rsid w:val="00122351"/>
    <w:rsid w:val="001303C6"/>
    <w:rsid w:val="00143730"/>
    <w:rsid w:val="00145771"/>
    <w:rsid w:val="0018026F"/>
    <w:rsid w:val="00185814"/>
    <w:rsid w:val="001B3360"/>
    <w:rsid w:val="001E7A8F"/>
    <w:rsid w:val="001F68F3"/>
    <w:rsid w:val="002104DB"/>
    <w:rsid w:val="00215483"/>
    <w:rsid w:val="002468ED"/>
    <w:rsid w:val="00254659"/>
    <w:rsid w:val="002B2A74"/>
    <w:rsid w:val="002D1889"/>
    <w:rsid w:val="002E1736"/>
    <w:rsid w:val="00320352"/>
    <w:rsid w:val="00323501"/>
    <w:rsid w:val="003274A3"/>
    <w:rsid w:val="00345F7A"/>
    <w:rsid w:val="00365784"/>
    <w:rsid w:val="00387293"/>
    <w:rsid w:val="003A264A"/>
    <w:rsid w:val="003A53F5"/>
    <w:rsid w:val="00427556"/>
    <w:rsid w:val="00443BA0"/>
    <w:rsid w:val="00450B59"/>
    <w:rsid w:val="004816E0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822C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7E5C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A3E04"/>
    <w:rsid w:val="00DA4FA2"/>
    <w:rsid w:val="00DB5843"/>
    <w:rsid w:val="00DB6AD4"/>
    <w:rsid w:val="00DD363B"/>
    <w:rsid w:val="00DD511C"/>
    <w:rsid w:val="00DD52FB"/>
    <w:rsid w:val="00DE2FE5"/>
    <w:rsid w:val="00DE7D40"/>
    <w:rsid w:val="00DF0DAD"/>
    <w:rsid w:val="00E51C52"/>
    <w:rsid w:val="00E77E76"/>
    <w:rsid w:val="00E85B22"/>
    <w:rsid w:val="00EA77C3"/>
    <w:rsid w:val="00EB45AC"/>
    <w:rsid w:val="00EB4F1D"/>
    <w:rsid w:val="00EE5978"/>
    <w:rsid w:val="00EF41BB"/>
    <w:rsid w:val="00F25B3F"/>
    <w:rsid w:val="00F25E40"/>
    <w:rsid w:val="00F27EA4"/>
    <w:rsid w:val="00F27EE6"/>
    <w:rsid w:val="00F4062E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5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143</cp:revision>
  <dcterms:created xsi:type="dcterms:W3CDTF">2020-12-09T23:58:00Z</dcterms:created>
  <dcterms:modified xsi:type="dcterms:W3CDTF">2020-12-12T06:06:00Z</dcterms:modified>
</cp:coreProperties>
</file>