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</w:t>
      </w:r>
      <w:proofErr w:type="gramStart"/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="005373E0"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="005373E0"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</w:t>
      </w:r>
      <w:proofErr w:type="gramStart"/>
      <w:r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258038B4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904D7C5" w:rsidR="0090062A" w:rsidRDefault="00B01999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) = “Ivan” </m:t>
        </m:r>
      </m:oMath>
      <w:r>
        <w:rPr>
          <w:rFonts w:eastAsiaTheme="minorEastAsia"/>
        </w:rPr>
        <w:t xml:space="preserve"> </w:t>
      </w:r>
    </w:p>
    <w:p w14:paraId="7D789507" w14:textId="4685D0A3" w:rsidR="00695F99" w:rsidRDefault="0090062A" w:rsidP="00AE6204">
      <w:pPr>
        <w:spacing w:after="0" w:line="240" w:lineRule="auto"/>
      </w:pPr>
      <w:r>
        <w:t xml:space="preserve">Here we utilized the shortcut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 =prop(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 `text`, `text`)</m:t>
        </m:r>
      </m:oMath>
      <w:r>
        <w:t>. Similarly:</w:t>
      </w:r>
    </w:p>
    <w:p w14:paraId="643A778C" w14:textId="2248F911" w:rsidR="00695F99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hAnsi="Cambria Math"/>
          </w:rPr>
          <m:t>)=”is”</m:t>
        </m:r>
      </m:oMath>
      <w:r>
        <w:rPr>
          <w:rFonts w:eastAsiaTheme="minorEastAsia"/>
        </w:rPr>
        <w:t xml:space="preserve"> </w:t>
      </w:r>
    </w:p>
    <w:p w14:paraId="1E2EA092" w14:textId="03BF978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)=”John’s”</m:t>
        </m:r>
      </m:oMath>
      <w:r>
        <w:rPr>
          <w:rFonts w:eastAsiaTheme="minorEastAsia"/>
        </w:rPr>
        <w:t xml:space="preserve"> </w:t>
      </w:r>
    </w:p>
    <w:p w14:paraId="65F61D20" w14:textId="0A6B52E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)=”son”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260826C3" w:rsidR="00862AD6" w:rsidRDefault="00FF4925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D17DC2" w14:textId="1835F14F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</w:t>
      </w:r>
      <m:oMath>
        <m:r>
          <w:rPr>
            <w:rFonts w:ascii="Cambria Math" w:hAnsi="Cambria Math"/>
          </w:rPr>
          <m:t>M</m:t>
        </m:r>
      </m:oMath>
      <w:r w:rsidR="00A865A1">
        <w:t>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3DBF699F" w:rsidR="00841F17" w:rsidRDefault="008F6B7E" w:rsidP="00AE6204">
      <w:pPr>
        <w:spacing w:after="0" w:line="240" w:lineRule="auto"/>
      </w:pPr>
      <w:r>
        <w:lastRenderedPageBreak/>
        <w:t xml:space="preserve">Each </w:t>
      </w:r>
      <m:oMath>
        <m:r>
          <w:rPr>
            <w:rFonts w:ascii="Cambria Math" w:hAnsi="Cambria Math"/>
          </w:rPr>
          <m:t>M</m:t>
        </m:r>
      </m:oMath>
      <w:r>
        <w:t xml:space="preserve">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</w:t>
      </w:r>
      <m:oMath>
        <m:r>
          <w:rPr>
            <w:rFonts w:ascii="Cambria Math" w:hAnsi="Cambria Math"/>
          </w:rPr>
          <m:t>M</m:t>
        </m:r>
      </m:oMath>
      <w:r w:rsidR="003F376D">
        <w:t xml:space="preserve">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</w:t>
      </w:r>
      <m:oMath>
        <m:r>
          <w:rPr>
            <w:rFonts w:ascii="Cambria Math" w:hAnsi="Cambria Math"/>
          </w:rPr>
          <m:t>SA</m:t>
        </m:r>
      </m:oMath>
      <w:r w:rsidR="003F376D">
        <w:t xml:space="preserve">-particle) bound to already processed </w:t>
      </w:r>
      <m:oMath>
        <m:r>
          <w:rPr>
            <w:rFonts w:ascii="Cambria Math" w:hAnsi="Cambria Math"/>
          </w:rPr>
          <m:t>V</m:t>
        </m:r>
      </m:oMath>
      <w:r w:rsidR="003F376D">
        <w:t>-particles.</w:t>
      </w:r>
      <w:r w:rsidR="00A865A1">
        <w:t xml:space="preserve"> </w:t>
      </w:r>
      <w:r w:rsidR="00431586">
        <w:t xml:space="preserve">For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431586">
        <w:t xml:space="preserve"> o</w:t>
      </w:r>
      <w:proofErr w:type="spellStart"/>
      <w:r w:rsidR="00DD276B">
        <w:t>ne</w:t>
      </w:r>
      <w:proofErr w:type="spellEnd"/>
      <w:r w:rsidR="00DD276B">
        <w:t xml:space="preserve"> of those </w:t>
      </w:r>
      <m:oMath>
        <m:r>
          <w:rPr>
            <w:rFonts w:ascii="Cambria Math" w:hAnsi="Cambria Math"/>
          </w:rPr>
          <m:t>M</m:t>
        </m:r>
      </m:oMath>
      <w:r w:rsidR="00DD276B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431586">
        <w:t xml:space="preserve">-particle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31586">
        <w:t xml:space="preserve"> </w:t>
      </w:r>
      <w:r w:rsidR="0090062A">
        <w:t xml:space="preserve">and another </w:t>
      </w:r>
      <w:r w:rsidR="00E47B32">
        <w:t xml:space="preserve">one </w:t>
      </w:r>
      <w:r w:rsidR="0090062A">
        <w:t xml:space="preserve">of those </w:t>
      </w:r>
      <m:oMath>
        <m:r>
          <w:rPr>
            <w:rFonts w:ascii="Cambria Math" w:hAnsi="Cambria Math"/>
          </w:rPr>
          <m:t>M</m:t>
        </m:r>
      </m:oMath>
      <w:r w:rsidR="0090062A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90062A">
        <w:t>-particle associated with</w:t>
      </w:r>
      <w:r w:rsidR="00C660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</m:oMath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97567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AE5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2310C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01999"/>
    <w:rsid w:val="00B20C7B"/>
    <w:rsid w:val="00B81786"/>
    <w:rsid w:val="00B95A36"/>
    <w:rsid w:val="00B97444"/>
    <w:rsid w:val="00BA608C"/>
    <w:rsid w:val="00BB1620"/>
    <w:rsid w:val="00BB584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34472</TotalTime>
  <Pages>5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200</cp:revision>
  <dcterms:created xsi:type="dcterms:W3CDTF">2020-08-28T02:23:00Z</dcterms:created>
  <dcterms:modified xsi:type="dcterms:W3CDTF">2020-12-01T03:45:00Z</dcterms:modified>
</cp:coreProperties>
</file>