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832173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70476757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 grammatical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336018D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Example:</w:t>
      </w:r>
    </w:p>
    <w:p w14:paraId="28E18E39" w14:textId="04908D89" w:rsidR="00BA28A0" w:rsidRPr="00F6350A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389269C2" w14:textId="523B7BEF" w:rsidR="00F6350A" w:rsidRDefault="00C4574B" w:rsidP="0080160B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Dimitar  Mieko</w:t>
      </w:r>
      <w:proofErr w:type="gramEnd"/>
    </w:p>
    <w:p w14:paraId="4F0E7396" w14:textId="19EBB729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\      /</w:t>
      </w:r>
    </w:p>
    <w:p w14:paraId="497C955B" w14:textId="62321849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and</w:t>
      </w:r>
    </w:p>
    <w:p w14:paraId="36DA88A7" w14:textId="3A511901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|</w:t>
      </w:r>
    </w:p>
    <w:p w14:paraId="269B9066" w14:textId="25058AD9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are</w:t>
      </w:r>
    </w:p>
    <w:p w14:paraId="2A7F79A1" w14:textId="14E9C273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|</w:t>
      </w:r>
    </w:p>
    <w:p w14:paraId="093814A5" w14:textId="46E92B5A" w:rsidR="00CA6D1B" w:rsidRDefault="00C4574B" w:rsidP="0080160B">
      <w:pPr>
        <w:spacing w:after="0" w:line="240" w:lineRule="auto"/>
      </w:pPr>
      <w:r>
        <w:t xml:space="preserve">       riding</w:t>
      </w:r>
    </w:p>
    <w:p w14:paraId="4FE8F0AC" w14:textId="572A608E" w:rsidR="00C4574B" w:rsidRDefault="00C4574B" w:rsidP="0080160B">
      <w:pPr>
        <w:spacing w:after="0" w:line="240" w:lineRule="auto"/>
      </w:pPr>
      <w:r>
        <w:t xml:space="preserve">   </w:t>
      </w:r>
      <w:r w:rsidR="003D365A">
        <w:t xml:space="preserve">        |</w:t>
      </w:r>
    </w:p>
    <w:p w14:paraId="3F38B31D" w14:textId="3C89697A" w:rsidR="00AB1480" w:rsidRDefault="00C4574B" w:rsidP="0080160B">
      <w:pPr>
        <w:spacing w:after="0" w:line="240" w:lineRule="auto"/>
      </w:pPr>
      <w:r>
        <w:t xml:space="preserve">          </w:t>
      </w:r>
      <w:r w:rsidR="003D365A">
        <w:t>i</w:t>
      </w:r>
      <w:r>
        <w:t>n</w:t>
      </w:r>
    </w:p>
    <w:p w14:paraId="60048A7A" w14:textId="570CEDD0" w:rsidR="003D365A" w:rsidRDefault="003D365A" w:rsidP="0080160B">
      <w:pPr>
        <w:spacing w:after="0" w:line="240" w:lineRule="auto"/>
      </w:pPr>
      <w:r>
        <w:t xml:space="preserve">           |</w:t>
      </w:r>
    </w:p>
    <w:p w14:paraId="268FDC27" w14:textId="39488A41" w:rsidR="00C4574B" w:rsidRDefault="00C4574B" w:rsidP="0080160B">
      <w:pPr>
        <w:spacing w:after="0" w:line="240" w:lineRule="auto"/>
      </w:pPr>
      <w:r>
        <w:t xml:space="preserve">         car</w:t>
      </w:r>
    </w:p>
    <w:p w14:paraId="72F04EF4" w14:textId="77777777" w:rsidR="00AB1480" w:rsidRDefault="00AB1480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832173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832173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832173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</w:t>
      </w:r>
      <w:r>
        <w:rPr>
          <w:rFonts w:eastAsiaTheme="minorEastAsia"/>
        </w:rPr>
        <w:t xml:space="preserve">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12D428A2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832173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lastRenderedPageBreak/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832173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832173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832173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832173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51FC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B47"/>
    <w:rsid w:val="006F0E29"/>
    <w:rsid w:val="006F29D7"/>
    <w:rsid w:val="007019FA"/>
    <w:rsid w:val="00717FAA"/>
    <w:rsid w:val="00737CC5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B1480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A1BE1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4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140</cp:revision>
  <dcterms:created xsi:type="dcterms:W3CDTF">2020-11-28T04:06:00Z</dcterms:created>
  <dcterms:modified xsi:type="dcterms:W3CDTF">2020-12-09T02:41:00Z</dcterms:modified>
</cp:coreProperties>
</file>