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E5CC" w14:textId="793C2D0D" w:rsidR="00042DC8" w:rsidRPr="00B1297B" w:rsidRDefault="00B84490" w:rsidP="00B1297B">
      <w:pPr>
        <w:pStyle w:val="Heading1"/>
        <w:jc w:val="center"/>
        <w:rPr>
          <w:sz w:val="28"/>
          <w:szCs w:val="28"/>
        </w:rPr>
      </w:pPr>
      <w:r w:rsidRPr="00B1297B">
        <w:rPr>
          <w:sz w:val="28"/>
          <w:szCs w:val="28"/>
        </w:rPr>
        <w:t>Notes on Noether</w:t>
      </w:r>
      <w:r w:rsidR="001D4971">
        <w:rPr>
          <w:sz w:val="28"/>
          <w:szCs w:val="28"/>
        </w:rPr>
        <w:t>’s</w:t>
      </w:r>
      <w:r w:rsidRPr="00B1297B">
        <w:rPr>
          <w:sz w:val="28"/>
          <w:szCs w:val="28"/>
        </w:rPr>
        <w:t xml:space="preserve"> theorem </w:t>
      </w:r>
      <w:r w:rsidR="00B1297B" w:rsidRPr="00B1297B">
        <w:rPr>
          <w:sz w:val="28"/>
          <w:szCs w:val="28"/>
        </w:rPr>
        <w:t>and conserved quantities in dynamical systems</w:t>
      </w:r>
    </w:p>
    <w:p w14:paraId="7DF92ADC" w14:textId="2F6D1AE5" w:rsidR="00B1297B" w:rsidRDefault="00B1297B" w:rsidP="00B1297B">
      <w:pPr>
        <w:rPr>
          <w:sz w:val="20"/>
          <w:szCs w:val="20"/>
        </w:rPr>
      </w:pPr>
      <w:r w:rsidRPr="00B1297B">
        <w:rPr>
          <w:sz w:val="20"/>
          <w:szCs w:val="20"/>
        </w:rPr>
        <w:t xml:space="preserve">               D. Gueorguiev </w:t>
      </w:r>
      <w:r>
        <w:rPr>
          <w:sz w:val="20"/>
          <w:szCs w:val="20"/>
        </w:rPr>
        <w:t xml:space="preserve">  1/5/23</w:t>
      </w:r>
    </w:p>
    <w:p w14:paraId="2B4883C0" w14:textId="77777777" w:rsidR="00B1297B" w:rsidRDefault="00B1297B" w:rsidP="00B1297B">
      <w:pPr>
        <w:rPr>
          <w:sz w:val="20"/>
          <w:szCs w:val="20"/>
        </w:rPr>
      </w:pPr>
    </w:p>
    <w:p w14:paraId="677F5C2A" w14:textId="4CEFA8EF" w:rsidR="00B1297B" w:rsidRPr="00B1297B" w:rsidRDefault="00B1297B" w:rsidP="00B1297B">
      <w:pPr>
        <w:pStyle w:val="Heading2"/>
      </w:pPr>
      <w:r>
        <w:t>Introduction</w:t>
      </w:r>
    </w:p>
    <w:p w14:paraId="7D810EAA" w14:textId="0BF4DE78" w:rsidR="00B1297B" w:rsidRDefault="00FC6A07" w:rsidP="00B1297B">
      <w:pPr>
        <w:rPr>
          <w:sz w:val="20"/>
          <w:szCs w:val="20"/>
        </w:rPr>
      </w:pPr>
      <w:r>
        <w:rPr>
          <w:sz w:val="20"/>
          <w:szCs w:val="20"/>
        </w:rPr>
        <w:t>Noether</w:t>
      </w:r>
      <w:r w:rsidR="00F922FB">
        <w:rPr>
          <w:sz w:val="20"/>
          <w:szCs w:val="20"/>
        </w:rPr>
        <w:t>’s</w:t>
      </w:r>
      <w:r>
        <w:rPr>
          <w:sz w:val="20"/>
          <w:szCs w:val="20"/>
        </w:rPr>
        <w:t xml:space="preserve"> theorem states that every differentiable symmetry of a </w:t>
      </w:r>
      <w:r w:rsidR="00B922BE">
        <w:rPr>
          <w:sz w:val="20"/>
          <w:szCs w:val="20"/>
        </w:rPr>
        <w:t>dynamical</w:t>
      </w:r>
      <w:r>
        <w:rPr>
          <w:sz w:val="20"/>
          <w:szCs w:val="20"/>
        </w:rPr>
        <w:t xml:space="preserve"> system with conservative forces has corresponding conservation law. </w:t>
      </w:r>
    </w:p>
    <w:p w14:paraId="64F7F4C8" w14:textId="74589E95" w:rsidR="00B922BE" w:rsidRDefault="00B922BE" w:rsidP="00B1297B">
      <w:pPr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</w:p>
    <w:p w14:paraId="5AB2E274" w14:textId="085D58ED" w:rsidR="00B922BE" w:rsidRPr="00B1297B" w:rsidRDefault="00B922BE" w:rsidP="00B1297B">
      <w:pPr>
        <w:rPr>
          <w:sz w:val="20"/>
          <w:szCs w:val="20"/>
        </w:rPr>
      </w:pPr>
      <w:r>
        <w:rPr>
          <w:sz w:val="20"/>
          <w:szCs w:val="20"/>
        </w:rPr>
        <w:t xml:space="preserve">If a dynamical system </w:t>
      </w:r>
      <w:r w:rsidR="00F922FB">
        <w:rPr>
          <w:sz w:val="20"/>
          <w:szCs w:val="20"/>
        </w:rPr>
        <w:t xml:space="preserve">behaves the same regardless of how it is oriented in space, its Lagrangian is symmetric under continuous rotation. From this symmetry, Noether’s theorem </w:t>
      </w:r>
      <w:r w:rsidR="001D4971">
        <w:rPr>
          <w:sz w:val="20"/>
          <w:szCs w:val="20"/>
        </w:rPr>
        <w:t xml:space="preserve">dictates that the angular momentum </w:t>
      </w:r>
    </w:p>
    <w:sectPr w:rsidR="00B922BE" w:rsidRPr="00B1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90"/>
    <w:rsid w:val="00042DC8"/>
    <w:rsid w:val="001D4971"/>
    <w:rsid w:val="00AE407B"/>
    <w:rsid w:val="00B1297B"/>
    <w:rsid w:val="00B84490"/>
    <w:rsid w:val="00B922BE"/>
    <w:rsid w:val="00F922FB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272B4"/>
  <w15:chartTrackingRefBased/>
  <w15:docId w15:val="{D8A17F16-22E6-2C4D-A81A-45001E97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2024-01-06T02:25:00Z</dcterms:created>
  <dcterms:modified xsi:type="dcterms:W3CDTF">2024-01-06T02:25:00Z</dcterms:modified>
</cp:coreProperties>
</file>