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22C53770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is the expectation over the distribution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B55EE2">
        <w:rPr>
          <w:sz w:val="20"/>
          <w:szCs w:val="20"/>
        </w:rPr>
        <w:t xml:space="preserve">, and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B55EE2">
        <w:rPr>
          <w:sz w:val="20"/>
          <w:szCs w:val="20"/>
        </w:rPr>
        <w:t xml:space="preserve"> is the reconstruction loss function, which measures the distance between the output of the decoder and the input.</w:t>
      </w:r>
      <w:r w:rsidR="00CD4853">
        <w:rPr>
          <w:sz w:val="20"/>
          <w:szCs w:val="20"/>
        </w:rPr>
        <w:t xml:space="preserve"> The latter is usually set to be the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="00CD4853">
        <w:rPr>
          <w:sz w:val="20"/>
          <w:szCs w:val="20"/>
        </w:rPr>
        <w:t>-norm. The Figure provides an example of an Autoencoder application:</w:t>
      </w:r>
    </w:p>
    <w:p w14:paraId="47255B17" w14:textId="77777777" w:rsidR="00CD4853" w:rsidRDefault="00CD4853">
      <w:pPr>
        <w:rPr>
          <w:sz w:val="20"/>
          <w:szCs w:val="20"/>
        </w:rPr>
      </w:pPr>
    </w:p>
    <w:p w14:paraId="30FC53A4" w14:textId="5433E1DA" w:rsidR="00CD4853" w:rsidRDefault="00C96B5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612FF" wp14:editId="656C4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2865" cy="1338593"/>
            <wp:effectExtent l="0" t="0" r="6350" b="0"/>
            <wp:wrapTopAndBottom/>
            <wp:docPr id="972012990" name="Picture 1" descr="A diagram of a co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12990" name="Picture 1" descr="A diagram of a cod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865" cy="1338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Figure: an Autoencoder example with an image </w:t>
      </w:r>
    </w:p>
    <w:p w14:paraId="7A1D04F7" w14:textId="77777777" w:rsidR="00C96B5C" w:rsidRPr="00C96B5C" w:rsidRDefault="00C96B5C">
      <w:pPr>
        <w:rPr>
          <w:sz w:val="20"/>
          <w:szCs w:val="20"/>
        </w:rPr>
      </w:pPr>
    </w:p>
    <w:p w14:paraId="3310CBFC" w14:textId="023C6375" w:rsidR="00C96B5C" w:rsidRPr="00C96B5C" w:rsidRDefault="00FD79E2">
      <w:pPr>
        <w:rPr>
          <w:sz w:val="20"/>
          <w:szCs w:val="20"/>
        </w:rPr>
      </w:pPr>
      <w:r>
        <w:rPr>
          <w:sz w:val="20"/>
          <w:szCs w:val="20"/>
        </w:rPr>
        <w:t xml:space="preserve">Historically,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>
        <w:rPr>
          <w:sz w:val="20"/>
          <w:szCs w:val="20"/>
        </w:rPr>
        <w:t xml:space="preserve"> are neural networks. </w:t>
      </w:r>
      <w:r w:rsidR="00D117B3">
        <w:rPr>
          <w:sz w:val="20"/>
          <w:szCs w:val="20"/>
        </w:rPr>
        <w:t xml:space="preserve">In the special case that A and B are linear operations, we get a linear autoencoder (see [3]). </w:t>
      </w:r>
    </w:p>
    <w:p w14:paraId="78288B9B" w14:textId="77777777" w:rsidR="00A35CEF" w:rsidRDefault="00A35CEF">
      <w:pPr>
        <w:rPr>
          <w:sz w:val="20"/>
          <w:szCs w:val="20"/>
        </w:rPr>
      </w:pPr>
    </w:p>
    <w:p w14:paraId="43E22F47" w14:textId="77777777" w:rsidR="00D117B3" w:rsidRDefault="00D117B3" w:rsidP="00D117B3">
      <w:pPr>
        <w:pStyle w:val="Heading2"/>
      </w:pPr>
      <w:r>
        <w:t xml:space="preserve">Appendix </w:t>
      </w:r>
    </w:p>
    <w:p w14:paraId="2750A343" w14:textId="74D253B5" w:rsidR="00D117B3" w:rsidRDefault="00D117B3" w:rsidP="00D117B3">
      <w:pPr>
        <w:pStyle w:val="Heading3"/>
      </w:pPr>
      <w:r>
        <w:t>Linear Autoencoders and Principal Component Analysis</w:t>
      </w:r>
    </w:p>
    <w:p w14:paraId="59DE1CA9" w14:textId="77777777" w:rsidR="00D117B3" w:rsidRDefault="00D117B3">
      <w:pPr>
        <w:rPr>
          <w:sz w:val="20"/>
          <w:szCs w:val="20"/>
        </w:rPr>
      </w:pPr>
    </w:p>
    <w:p w14:paraId="7B5DDA4B" w14:textId="5548395B" w:rsidR="00DE7CE2" w:rsidRDefault="00DE7CE2">
      <w:pPr>
        <w:rPr>
          <w:sz w:val="20"/>
          <w:szCs w:val="20"/>
        </w:rPr>
      </w:pPr>
      <w:r>
        <w:rPr>
          <w:sz w:val="20"/>
          <w:szCs w:val="20"/>
        </w:rPr>
        <w:t xml:space="preserve">In this section only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eed </w:t>
      </w:r>
      <w:r w:rsidR="007766D0">
        <w:rPr>
          <w:sz w:val="20"/>
          <w:szCs w:val="20"/>
        </w:rPr>
        <w:t>f</w:t>
      </w:r>
      <w:r>
        <w:rPr>
          <w:sz w:val="20"/>
          <w:szCs w:val="20"/>
        </w:rPr>
        <w:t xml:space="preserve">orward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eural </w:t>
      </w:r>
      <w:r w:rsidR="007766D0">
        <w:rPr>
          <w:sz w:val="20"/>
          <w:szCs w:val="20"/>
        </w:rPr>
        <w:t>n</w:t>
      </w:r>
      <w:r>
        <w:rPr>
          <w:sz w:val="20"/>
          <w:szCs w:val="20"/>
        </w:rPr>
        <w:t xml:space="preserve">ets with </w:t>
      </w:r>
      <w:r w:rsidR="007766D0">
        <w:rPr>
          <w:sz w:val="20"/>
          <w:szCs w:val="20"/>
        </w:rPr>
        <w:t xml:space="preserve">one layer of input units, one layer of output units and one or several layers of hidden units will be considered. All neural nets will have </w:t>
      </w:r>
      <w:r>
        <w:rPr>
          <w:sz w:val="20"/>
          <w:szCs w:val="20"/>
        </w:rPr>
        <w:t>linear activation unit</w:t>
      </w:r>
      <w:r w:rsidR="007766D0">
        <w:rPr>
          <w:sz w:val="20"/>
          <w:szCs w:val="20"/>
        </w:rPr>
        <w:t xml:space="preserve">s. We assume that there are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input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1≤t≤T</m:t>
            </m:r>
          </m:e>
        </m:d>
      </m:oMath>
      <w:r w:rsidR="007766D0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766D0">
        <w:rPr>
          <w:sz w:val="20"/>
          <w:szCs w:val="20"/>
        </w:rPr>
        <w:t xml:space="preserve"> corresponding target output patterns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7766D0">
        <w:rPr>
          <w:sz w:val="20"/>
          <w:szCs w:val="20"/>
        </w:rPr>
        <w:t xml:space="preserve"> which are used to train the network. For this purpose quadratic error function is used and defined as </w:t>
      </w:r>
      <m:oMath>
        <m:r>
          <w:rPr>
            <w:rFonts w:ascii="Cambria Math" w:hAnsi="Cambria Math"/>
            <w:sz w:val="20"/>
            <w:szCs w:val="20"/>
          </w:rPr>
          <m:t>E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7766D0">
        <w:rPr>
          <w:sz w:val="20"/>
          <w:szCs w:val="20"/>
        </w:rPr>
        <w:t xml:space="preserve"> where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7766D0">
        <w:rPr>
          <w:sz w:val="20"/>
          <w:szCs w:val="20"/>
        </w:rPr>
        <w:t xml:space="preserve"> is the current function implemented by the network. </w:t>
      </w:r>
      <w:r w:rsidR="00D93EDA">
        <w:rPr>
          <w:sz w:val="20"/>
          <w:szCs w:val="20"/>
        </w:rPr>
        <w:t xml:space="preserve">During the training phase, the weights and </w:t>
      </w:r>
      <m:oMath>
        <m:r>
          <w:rPr>
            <w:rFonts w:ascii="Cambria Math" w:hAnsi="Cambria Math"/>
            <w:sz w:val="20"/>
            <w:szCs w:val="20"/>
          </w:rPr>
          <m:t>F</m:t>
        </m:r>
      </m:oMath>
      <w:r w:rsidR="00D93EDA">
        <w:rPr>
          <w:sz w:val="20"/>
          <w:szCs w:val="20"/>
        </w:rPr>
        <w:t xml:space="preserve"> are successfully modified in order to reduce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D93EDA">
        <w:rPr>
          <w:sz w:val="20"/>
          <w:szCs w:val="20"/>
        </w:rPr>
        <w:t>. This section will conduct careful analysis of feed forward networks with linear units.</w:t>
      </w:r>
    </w:p>
    <w:p w14:paraId="4B05BE71" w14:textId="77777777" w:rsidR="00187B12" w:rsidRDefault="00187B12">
      <w:pPr>
        <w:rPr>
          <w:sz w:val="20"/>
          <w:szCs w:val="20"/>
          <w:u w:val="single"/>
        </w:rPr>
      </w:pPr>
    </w:p>
    <w:p w14:paraId="59E78528" w14:textId="404FC318" w:rsidR="00DE7CE2" w:rsidRDefault="00D93EDA">
      <w:pPr>
        <w:rPr>
          <w:sz w:val="20"/>
          <w:szCs w:val="20"/>
        </w:rPr>
      </w:pPr>
      <w:r w:rsidRPr="00D93EDA">
        <w:rPr>
          <w:sz w:val="20"/>
          <w:szCs w:val="20"/>
          <w:u w:val="single"/>
        </w:rPr>
        <w:t>Notation and Assumptions</w:t>
      </w:r>
      <w:r>
        <w:rPr>
          <w:sz w:val="20"/>
          <w:szCs w:val="20"/>
        </w:rPr>
        <w:t xml:space="preserve">: Both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>
        <w:rPr>
          <w:sz w:val="20"/>
          <w:szCs w:val="20"/>
        </w:rPr>
        <w:t xml:space="preserve"> are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-dimensional vectors. Our first network will </w:t>
      </w:r>
      <w:r w:rsidR="00187B12">
        <w:rPr>
          <w:sz w:val="20"/>
          <w:szCs w:val="20"/>
        </w:rPr>
        <w:t xml:space="preserve">consist of input and output layers of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inputs and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="00187B12">
        <w:rPr>
          <w:sz w:val="20"/>
          <w:szCs w:val="20"/>
        </w:rPr>
        <w:t xml:space="preserve"> outputs plus one hidden layer with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p≤n</m:t>
            </m:r>
          </m:e>
        </m:d>
      </m:oMath>
      <w:r w:rsidR="00187B12">
        <w:rPr>
          <w:sz w:val="20"/>
          <w:szCs w:val="20"/>
        </w:rPr>
        <w:t xml:space="preserve"> units. The</w:t>
      </w:r>
      <w:r w:rsidR="00F6543D">
        <w:rPr>
          <w:sz w:val="20"/>
          <w:szCs w:val="20"/>
        </w:rPr>
        <w:t xml:space="preserve"> weights connecting the inputs to the hidden layer are described by a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×n</m:t>
        </m:r>
      </m:oMath>
      <w:r w:rsidR="00F6543D">
        <w:rPr>
          <w:sz w:val="20"/>
          <w:szCs w:val="20"/>
        </w:rPr>
        <w:t xml:space="preserve"> real matrix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F6543D">
        <w:rPr>
          <w:sz w:val="20"/>
          <w:szCs w:val="20"/>
        </w:rPr>
        <w:t xml:space="preserve"> and those from the hidden layer</w:t>
      </w:r>
      <w:r w:rsidR="004A75D1">
        <w:rPr>
          <w:sz w:val="20"/>
          <w:szCs w:val="20"/>
        </w:rPr>
        <w:t xml:space="preserve"> to the output by an </w:t>
      </w:r>
      <w:r w:rsidR="004A75D1">
        <w:rPr>
          <w:sz w:val="20"/>
          <w:szCs w:val="20"/>
        </w:rPr>
        <w:t xml:space="preserve">a 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p</m:t>
        </m:r>
      </m:oMath>
      <w:r w:rsidR="004A75D1">
        <w:rPr>
          <w:sz w:val="20"/>
          <w:szCs w:val="20"/>
        </w:rPr>
        <w:t xml:space="preserve"> real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A75D1">
        <w:rPr>
          <w:sz w:val="20"/>
          <w:szCs w:val="20"/>
        </w:rPr>
        <w:t>. Thus the error function is written as:</w:t>
      </w:r>
    </w:p>
    <w:p w14:paraId="3D853CCE" w14:textId="77777777" w:rsidR="004A75D1" w:rsidRDefault="004A75D1">
      <w:pPr>
        <w:rPr>
          <w:sz w:val="20"/>
          <w:szCs w:val="20"/>
        </w:rPr>
      </w:pPr>
    </w:p>
    <w:p w14:paraId="66B0CD79" w14:textId="77F91058" w:rsidR="004A75D1" w:rsidRDefault="004A75D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1≤t≤T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sz w:val="20"/>
          <w:szCs w:val="20"/>
        </w:rPr>
        <w:t xml:space="preserve">    (1)</w:t>
      </w:r>
    </w:p>
    <w:p w14:paraId="5A25A8F4" w14:textId="77777777" w:rsidR="004A75D1" w:rsidRDefault="004A75D1">
      <w:pPr>
        <w:rPr>
          <w:sz w:val="20"/>
          <w:szCs w:val="20"/>
        </w:rPr>
      </w:pPr>
    </w:p>
    <w:p w14:paraId="416CE791" w14:textId="3E2D1740" w:rsidR="004A75D1" w:rsidRDefault="006E4CA6">
      <w:pPr>
        <w:rPr>
          <w:sz w:val="20"/>
          <w:szCs w:val="20"/>
        </w:rPr>
      </w:pPr>
      <w:r>
        <w:rPr>
          <w:sz w:val="20"/>
          <w:szCs w:val="20"/>
        </w:rPr>
        <w:t xml:space="preserve">We define the usual sample covariance matrices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>
        <w:rPr>
          <w:sz w:val="20"/>
          <w:szCs w:val="20"/>
        </w:rPr>
        <w:t xml:space="preserve"> ,</w:t>
      </w:r>
      <w:r w:rsidR="00886E05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>
        <w:rPr>
          <w:sz w:val="20"/>
          <w:szCs w:val="20"/>
        </w:rPr>
        <w:t xml:space="preserve"> </w:t>
      </w:r>
      <w:r w:rsidR="00886E0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YY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  <w:r w:rsidR="00886E05">
        <w:rPr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bSup>
          </m:e>
        </m:nary>
      </m:oMath>
    </w:p>
    <w:p w14:paraId="0BF4D94E" w14:textId="77777777" w:rsidR="00886E05" w:rsidRDefault="00886E05">
      <w:pPr>
        <w:rPr>
          <w:sz w:val="20"/>
          <w:szCs w:val="20"/>
        </w:rPr>
      </w:pPr>
    </w:p>
    <w:p w14:paraId="227D7A98" w14:textId="4643B911" w:rsidR="00886E05" w:rsidRDefault="00886E05">
      <w:pPr>
        <w:rPr>
          <w:sz w:val="20"/>
          <w:szCs w:val="20"/>
        </w:rPr>
      </w:pPr>
      <w:r w:rsidRPr="000D634B">
        <w:rPr>
          <w:sz w:val="20"/>
          <w:szCs w:val="20"/>
          <w:u w:val="single"/>
        </w:rPr>
        <w:t>Problem</w:t>
      </w:r>
      <w:r>
        <w:rPr>
          <w:sz w:val="20"/>
          <w:szCs w:val="20"/>
        </w:rPr>
        <w:t xml:space="preserve">: </w:t>
      </w:r>
      <w:r w:rsidR="000D634B">
        <w:rPr>
          <w:sz w:val="20"/>
          <w:szCs w:val="20"/>
        </w:rPr>
        <w:t xml:space="preserve">Find the matrices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0D634B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B</m:t>
        </m:r>
      </m:oMath>
      <w:r w:rsidR="000D634B">
        <w:rPr>
          <w:sz w:val="20"/>
          <w:szCs w:val="20"/>
        </w:rPr>
        <w:t xml:space="preserve"> which minimize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 w:rsidR="000D634B">
        <w:rPr>
          <w:sz w:val="20"/>
          <w:szCs w:val="20"/>
        </w:rPr>
        <w:t>.</w:t>
      </w:r>
    </w:p>
    <w:p w14:paraId="6B6AF009" w14:textId="10950570" w:rsidR="000D634B" w:rsidRDefault="000D634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We will use spectral analysis to gain insights of </w:t>
      </w:r>
      <m:oMath>
        <m: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>. We will establish connections in the auto-associative case to the PCA.</w:t>
      </w:r>
      <w:r w:rsidR="00357A8A">
        <w:rPr>
          <w:sz w:val="20"/>
          <w:szCs w:val="20"/>
        </w:rPr>
        <w:t xml:space="preserve"> If 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 w:rsidR="00357A8A">
        <w:rPr>
          <w:sz w:val="20"/>
          <w:szCs w:val="20"/>
        </w:rPr>
        <w:t xml:space="preserve"> is </w:t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p</m:t>
        </m:r>
      </m:oMath>
      <w:r w:rsidR="00357A8A">
        <w:rPr>
          <w:sz w:val="20"/>
          <w:szCs w:val="20"/>
        </w:rPr>
        <w:t xml:space="preserve"> invertible matrix, then obviously </w:t>
      </w:r>
      <m:oMath>
        <m:r>
          <w:rPr>
            <w:rFonts w:ascii="Cambria Math" w:hAnsi="Cambria Math"/>
            <w:sz w:val="20"/>
            <w:szCs w:val="20"/>
          </w:rPr>
          <m:t>AB=</m:t>
        </m:r>
        <m:r>
          <w:rPr>
            <w:rFonts w:ascii="Cambria Math" w:hAnsi="Cambria Math"/>
            <w:sz w:val="20"/>
            <w:szCs w:val="20"/>
          </w:rPr>
          <m:t>AC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B=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AC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 w:rsidR="00357A8A">
        <w:rPr>
          <w:sz w:val="20"/>
          <w:szCs w:val="20"/>
        </w:rPr>
        <w:t xml:space="preserve">. </w:t>
      </w:r>
      <w:r w:rsidR="00964B05">
        <w:rPr>
          <w:sz w:val="20"/>
          <w:szCs w:val="20"/>
        </w:rPr>
        <w:t>Thus the matrices A and B</w:t>
      </w:r>
      <w:r w:rsidR="000F0BA7">
        <w:rPr>
          <w:sz w:val="20"/>
          <w:szCs w:val="20"/>
        </w:rPr>
        <w:t xml:space="preserve"> are unique only up to a factor expressed as an arbitrary invertible matrix.</w:t>
      </w:r>
    </w:p>
    <w:p w14:paraId="204D99FC" w14:textId="77777777" w:rsidR="000D634B" w:rsidRDefault="000D634B">
      <w:pPr>
        <w:rPr>
          <w:sz w:val="20"/>
          <w:szCs w:val="20"/>
        </w:rPr>
      </w:pPr>
    </w:p>
    <w:p w14:paraId="49D1FE20" w14:textId="77777777" w:rsidR="000D634B" w:rsidRDefault="000D634B">
      <w:pPr>
        <w:rPr>
          <w:sz w:val="20"/>
          <w:szCs w:val="20"/>
        </w:rPr>
      </w:pPr>
    </w:p>
    <w:p w14:paraId="13AF4B98" w14:textId="77777777" w:rsidR="00187B12" w:rsidRDefault="00187B12">
      <w:pPr>
        <w:rPr>
          <w:sz w:val="20"/>
          <w:szCs w:val="20"/>
        </w:rPr>
      </w:pPr>
    </w:p>
    <w:p w14:paraId="11441B07" w14:textId="77777777" w:rsidR="00187B12" w:rsidRDefault="00187B12">
      <w:pPr>
        <w:rPr>
          <w:sz w:val="20"/>
          <w:szCs w:val="20"/>
        </w:rPr>
      </w:pPr>
    </w:p>
    <w:p w14:paraId="09578345" w14:textId="12D33BBF" w:rsidR="00D117B3" w:rsidRPr="00D117B3" w:rsidRDefault="00D117B3">
      <w:pPr>
        <w:rPr>
          <w:color w:val="FF0000"/>
          <w:sz w:val="20"/>
          <w:szCs w:val="20"/>
        </w:rPr>
      </w:pPr>
      <w:r w:rsidRPr="00D117B3">
        <w:rPr>
          <w:color w:val="FF0000"/>
          <w:sz w:val="20"/>
          <w:szCs w:val="20"/>
        </w:rPr>
        <w:t>//TODO:</w:t>
      </w:r>
      <w:r>
        <w:rPr>
          <w:color w:val="FF0000"/>
          <w:sz w:val="20"/>
          <w:szCs w:val="20"/>
        </w:rPr>
        <w:t xml:space="preserve"> this is mainly review and discussion of [3]</w:t>
      </w:r>
    </w:p>
    <w:p w14:paraId="19CEE10F" w14:textId="77777777" w:rsidR="00D117B3" w:rsidRDefault="00D117B3">
      <w:pPr>
        <w:rPr>
          <w:sz w:val="20"/>
          <w:szCs w:val="20"/>
        </w:rPr>
      </w:pPr>
    </w:p>
    <w:p w14:paraId="1AA51846" w14:textId="77777777" w:rsidR="00D117B3" w:rsidRPr="00C96B5C" w:rsidRDefault="00D117B3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534F3E2E" w:rsidR="006F4375" w:rsidRPr="00A5550B" w:rsidRDefault="00D117B3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5" w:history="1">
        <w:r w:rsidR="00A35CEF"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3C844C33" w:rsidR="006F4375" w:rsidRDefault="00D117B3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[2] </w:t>
      </w:r>
      <w:hyperlink r:id="rId6" w:history="1">
        <w:r w:rsidR="00A5550B"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p w14:paraId="7B7249E5" w14:textId="2265C135" w:rsidR="00FD79E2" w:rsidRPr="00FD79E2" w:rsidRDefault="00D117B3">
      <w:pPr>
        <w:rPr>
          <w:rFonts w:cstheme="minorHAnsi"/>
          <w:color w:val="4472C4" w:themeColor="accent1"/>
          <w:sz w:val="18"/>
          <w:szCs w:val="18"/>
        </w:rPr>
      </w:pPr>
      <w:r>
        <w:rPr>
          <w:rFonts w:cstheme="minorHAnsi"/>
          <w:color w:val="4472C4" w:themeColor="accent1"/>
          <w:sz w:val="18"/>
          <w:szCs w:val="18"/>
        </w:rPr>
        <w:t xml:space="preserve">[2] </w:t>
      </w:r>
      <w:hyperlink r:id="rId7" w:history="1">
        <w:r w:rsidR="00FD79E2" w:rsidRPr="00FD79E2">
          <w:rPr>
            <w:rFonts w:cstheme="minorHAnsi"/>
            <w:color w:val="4472C4" w:themeColor="accent1"/>
            <w:sz w:val="18"/>
            <w:szCs w:val="18"/>
            <w:u w:val="single"/>
            <w:shd w:val="clear" w:color="auto" w:fill="FFFFFF"/>
          </w:rPr>
          <w:t>Neural Networks and Principal Component Analysis: Learning from Examples Without Local Minima, Pierre Baldi, Kurt Hornik, 1988</w:t>
        </w:r>
      </w:hyperlink>
    </w:p>
    <w:sectPr w:rsidR="00FD79E2" w:rsidRPr="00FD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0D634B"/>
    <w:rsid w:val="000F0BA7"/>
    <w:rsid w:val="00187B12"/>
    <w:rsid w:val="001C6D68"/>
    <w:rsid w:val="00240857"/>
    <w:rsid w:val="00357A8A"/>
    <w:rsid w:val="0038653C"/>
    <w:rsid w:val="004A75D1"/>
    <w:rsid w:val="006E4CA6"/>
    <w:rsid w:val="006F4375"/>
    <w:rsid w:val="007766D0"/>
    <w:rsid w:val="00886E05"/>
    <w:rsid w:val="00964B05"/>
    <w:rsid w:val="009F358F"/>
    <w:rsid w:val="00A35CEF"/>
    <w:rsid w:val="00A5550B"/>
    <w:rsid w:val="00B55EE2"/>
    <w:rsid w:val="00C55DFC"/>
    <w:rsid w:val="00C96B5C"/>
    <w:rsid w:val="00CD4853"/>
    <w:rsid w:val="00D117B3"/>
    <w:rsid w:val="00D93EDA"/>
    <w:rsid w:val="00DE7CE2"/>
    <w:rsid w:val="00F62450"/>
    <w:rsid w:val="00F6543D"/>
    <w:rsid w:val="00FD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117B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deep_learning_and_neural_networks/blob/main/literature/articles/Neural_Networks_and_Principal_Component_Analysis-Learning_from_Examples_Without_Local_Minima_Baldi_Hornik-8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5" Type="http://schemas.openxmlformats.org/officeDocument/2006/relationships/hyperlink" Target="https://github.com/dimitarpg13/transformers_intro/blob/main/articles_and_books/Autoencoders.pdf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14</cp:revision>
  <dcterms:created xsi:type="dcterms:W3CDTF">2024-03-25T14:58:00Z</dcterms:created>
  <dcterms:modified xsi:type="dcterms:W3CDTF">2024-03-26T02:35:00Z</dcterms:modified>
</cp:coreProperties>
</file>