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75A6" w14:textId="3327CC23" w:rsidR="00042DC8" w:rsidRPr="008875A3" w:rsidRDefault="008875A3" w:rsidP="008875A3">
      <w:pPr>
        <w:pStyle w:val="Heading1"/>
        <w:rPr>
          <w:sz w:val="28"/>
          <w:szCs w:val="28"/>
        </w:rPr>
      </w:pPr>
      <w:r w:rsidRPr="008875A3">
        <w:rPr>
          <w:sz w:val="28"/>
          <w:szCs w:val="28"/>
        </w:rPr>
        <w:t>Notes on Learning with Kernels</w:t>
      </w:r>
    </w:p>
    <w:p w14:paraId="5CD5C326" w14:textId="2683F3F3" w:rsidR="008875A3" w:rsidRDefault="008875A3">
      <w:pPr>
        <w:rPr>
          <w:sz w:val="20"/>
          <w:szCs w:val="20"/>
        </w:rPr>
      </w:pPr>
      <w:r>
        <w:rPr>
          <w:sz w:val="20"/>
          <w:szCs w:val="20"/>
        </w:rPr>
        <w:t>compiled by D. Gueorguiev 3/26/2024</w:t>
      </w:r>
    </w:p>
    <w:p w14:paraId="3C360771" w14:textId="77777777" w:rsidR="008875A3" w:rsidRDefault="008875A3">
      <w:pPr>
        <w:rPr>
          <w:sz w:val="20"/>
          <w:szCs w:val="20"/>
        </w:rPr>
      </w:pPr>
    </w:p>
    <w:p w14:paraId="3FCC0B97" w14:textId="7FF5A836" w:rsidR="008875A3" w:rsidRDefault="008875A3" w:rsidP="008875A3">
      <w:pPr>
        <w:pStyle w:val="Heading2"/>
      </w:pPr>
      <w:r>
        <w:t>Data Representation and Similarity</w:t>
      </w:r>
    </w:p>
    <w:p w14:paraId="3F3CD7A4" w14:textId="122039F5" w:rsidR="008875A3" w:rsidRDefault="008875A3">
      <w:pPr>
        <w:rPr>
          <w:sz w:val="20"/>
          <w:szCs w:val="20"/>
        </w:rPr>
      </w:pPr>
      <w:r w:rsidRPr="008875A3">
        <w:rPr>
          <w:sz w:val="20"/>
          <w:szCs w:val="20"/>
          <w:u w:val="single"/>
        </w:rPr>
        <w:t>Fundamental problem of Learning theory</w:t>
      </w:r>
      <w:r>
        <w:rPr>
          <w:sz w:val="20"/>
          <w:szCs w:val="20"/>
        </w:rPr>
        <w:t>:</w:t>
      </w:r>
    </w:p>
    <w:p w14:paraId="5D16D007" w14:textId="7298E550" w:rsidR="008875A3" w:rsidRDefault="00BC422E">
      <w:pPr>
        <w:rPr>
          <w:sz w:val="20"/>
          <w:szCs w:val="20"/>
        </w:rPr>
      </w:pPr>
      <w:r>
        <w:rPr>
          <w:sz w:val="20"/>
          <w:szCs w:val="20"/>
        </w:rPr>
        <w:t xml:space="preserve">Suppose we are given two classes of objects. We are faced with a new object, and we have to assign it to one of two classes. </w:t>
      </w:r>
      <w:r w:rsidR="00663C75">
        <w:rPr>
          <w:sz w:val="20"/>
          <w:szCs w:val="20"/>
        </w:rPr>
        <w:t>We are given empirical data</w:t>
      </w:r>
    </w:p>
    <w:p w14:paraId="5FE6CC3D" w14:textId="77777777" w:rsidR="00663C75" w:rsidRDefault="00663C75">
      <w:pPr>
        <w:rPr>
          <w:sz w:val="20"/>
          <w:szCs w:val="20"/>
        </w:rPr>
      </w:pPr>
    </w:p>
    <w:p w14:paraId="1B6AB9D8" w14:textId="589721A9" w:rsidR="00663C75" w:rsidRDefault="00663C75">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e>
        </m:d>
        <m:r>
          <m:rPr>
            <m:scr m:val="script"/>
          </m:rP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±1</m:t>
            </m:r>
          </m:e>
        </m:d>
      </m:oMath>
      <w:r>
        <w:rPr>
          <w:sz w:val="20"/>
          <w:szCs w:val="20"/>
        </w:rPr>
        <w:t xml:space="preserve">       (1.1)</w:t>
      </w:r>
    </w:p>
    <w:p w14:paraId="6759C6EB" w14:textId="77777777" w:rsidR="00663C75" w:rsidRDefault="00663C75">
      <w:pPr>
        <w:rPr>
          <w:sz w:val="20"/>
          <w:szCs w:val="20"/>
        </w:rPr>
      </w:pPr>
    </w:p>
    <w:p w14:paraId="4873017B" w14:textId="3DE935D3" w:rsidR="00663C75" w:rsidRDefault="00663C75">
      <w:pPr>
        <w:rPr>
          <w:sz w:val="20"/>
          <w:szCs w:val="20"/>
        </w:rPr>
      </w:pPr>
      <w:r>
        <w:rPr>
          <w:sz w:val="20"/>
          <w:szCs w:val="20"/>
        </w:rPr>
        <w:t xml:space="preserve">Here, </w:t>
      </w:r>
      <m:oMath>
        <m:r>
          <m:rPr>
            <m:scr m:val="script"/>
          </m:rPr>
          <w:rPr>
            <w:rFonts w:ascii="Cambria Math" w:hAnsi="Cambria Math"/>
            <w:sz w:val="20"/>
            <w:szCs w:val="20"/>
          </w:rPr>
          <m:t>X</m:t>
        </m:r>
      </m:oMath>
      <w:r>
        <w:rPr>
          <w:sz w:val="20"/>
          <w:szCs w:val="20"/>
        </w:rPr>
        <w:t xml:space="preserve"> is some nonempty set from which the </w:t>
      </w:r>
      <w:r w:rsidRPr="00663C75">
        <w:rPr>
          <w:i/>
          <w:iCs/>
          <w:sz w:val="20"/>
          <w:szCs w:val="20"/>
        </w:rPr>
        <w:t>inputs</w:t>
      </w:r>
      <w:r w:rsidR="00F32F5D">
        <w:rPr>
          <w:i/>
          <w:iCs/>
          <w:sz w:val="20"/>
          <w:szCs w:val="20"/>
        </w:rPr>
        <w:t xml:space="preserve"> </w:t>
      </w:r>
      <w:r w:rsidR="00F32F5D" w:rsidRPr="00F32F5D">
        <w:rPr>
          <w:sz w:val="20"/>
          <w:szCs w:val="20"/>
        </w:rPr>
        <w:t>or</w:t>
      </w:r>
      <w:r w:rsidR="00F32F5D">
        <w:rPr>
          <w:i/>
          <w:iCs/>
          <w:sz w:val="20"/>
          <w:szCs w:val="20"/>
        </w:rPr>
        <w:t xml:space="preserve"> patterns</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 xml:space="preserve"> are taken, usually referred to as the </w:t>
      </w:r>
      <w:r w:rsidRPr="00663C75">
        <w:rPr>
          <w:i/>
          <w:iCs/>
          <w:sz w:val="20"/>
          <w:szCs w:val="20"/>
        </w:rPr>
        <w:t>domain</w:t>
      </w:r>
      <w:r>
        <w:rPr>
          <w:sz w:val="20"/>
          <w:szCs w:val="20"/>
        </w:rPr>
        <w:t xml:space="preserve">; the data points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Pr>
          <w:sz w:val="20"/>
          <w:szCs w:val="20"/>
        </w:rPr>
        <w:t xml:space="preserve"> are known as </w:t>
      </w:r>
      <w:r w:rsidRPr="00F32F5D">
        <w:rPr>
          <w:i/>
          <w:iCs/>
          <w:sz w:val="20"/>
          <w:szCs w:val="20"/>
        </w:rPr>
        <w:t>labels</w:t>
      </w:r>
      <w:r>
        <w:rPr>
          <w:sz w:val="20"/>
          <w:szCs w:val="20"/>
        </w:rPr>
        <w:t xml:space="preserve"> or </w:t>
      </w:r>
      <w:r w:rsidRPr="00F32F5D">
        <w:rPr>
          <w:i/>
          <w:iCs/>
          <w:sz w:val="20"/>
          <w:szCs w:val="20"/>
        </w:rPr>
        <w:t>observations</w:t>
      </w:r>
      <w:r w:rsidR="00F32F5D">
        <w:rPr>
          <w:sz w:val="20"/>
          <w:szCs w:val="20"/>
        </w:rPr>
        <w:t xml:space="preserve">. Note that there are only two classes of patterns. This case is referred to </w:t>
      </w:r>
      <w:r w:rsidR="00F32F5D" w:rsidRPr="00F32F5D">
        <w:rPr>
          <w:i/>
          <w:iCs/>
          <w:sz w:val="20"/>
          <w:szCs w:val="20"/>
        </w:rPr>
        <w:t>binary pattern recognition / binary classification</w:t>
      </w:r>
      <w:r w:rsidR="00F32F5D">
        <w:rPr>
          <w:sz w:val="20"/>
          <w:szCs w:val="20"/>
        </w:rPr>
        <w:t xml:space="preserve">. </w:t>
      </w:r>
    </w:p>
    <w:p w14:paraId="694CD1AF" w14:textId="77777777" w:rsidR="00F32F5D" w:rsidRDefault="00F32F5D">
      <w:pPr>
        <w:rPr>
          <w:sz w:val="20"/>
          <w:szCs w:val="20"/>
        </w:rPr>
      </w:pPr>
    </w:p>
    <w:p w14:paraId="36CEF41B" w14:textId="05E89618" w:rsidR="00F32F5D" w:rsidRDefault="00F32F5D">
      <w:pPr>
        <w:rPr>
          <w:sz w:val="20"/>
          <w:szCs w:val="20"/>
        </w:rPr>
      </w:pPr>
      <w:r>
        <w:rPr>
          <w:sz w:val="20"/>
          <w:szCs w:val="20"/>
        </w:rPr>
        <w:t xml:space="preserve">In order to study the problem of learning we need an additional type of structure. We want to be able to generalize to unseen data points. In the case of pattern recognition this means that given some new pattern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we want to predict the corresponding </w:t>
      </w:r>
      <m:oMath>
        <m:r>
          <w:rPr>
            <w:rFonts w:ascii="Cambria Math" w:hAnsi="Cambria Math"/>
            <w:sz w:val="20"/>
            <w:szCs w:val="20"/>
          </w:rPr>
          <m:t>y</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m:t>
            </m:r>
          </m:e>
        </m:d>
      </m:oMath>
      <w:r w:rsidR="00A3777E">
        <w:rPr>
          <w:sz w:val="20"/>
          <w:szCs w:val="20"/>
        </w:rPr>
        <w:t xml:space="preserve">. Loosely speaking, </w:t>
      </w:r>
      <w:r w:rsidR="00F97AAF">
        <w:rPr>
          <w:sz w:val="20"/>
          <w:szCs w:val="20"/>
        </w:rPr>
        <w:t xml:space="preserve">we choose </w:t>
      </w:r>
      <m:oMath>
        <m:r>
          <w:rPr>
            <w:rFonts w:ascii="Cambria Math" w:hAnsi="Cambria Math"/>
            <w:sz w:val="20"/>
            <w:szCs w:val="20"/>
          </w:rPr>
          <m:t>y</m:t>
        </m:r>
      </m:oMath>
      <w:r w:rsidR="00F97AAF">
        <w:rPr>
          <w:sz w:val="20"/>
          <w:szCs w:val="20"/>
        </w:rPr>
        <w:t xml:space="preserve"> such that </w:t>
      </w:r>
      <m:oMath>
        <m:d>
          <m:dPr>
            <m:ctrlPr>
              <w:rPr>
                <w:rFonts w:ascii="Cambria Math" w:hAnsi="Cambria Math"/>
                <w:i/>
                <w:sz w:val="20"/>
                <w:szCs w:val="20"/>
              </w:rPr>
            </m:ctrlPr>
          </m:dPr>
          <m:e>
            <m:r>
              <w:rPr>
                <w:rFonts w:ascii="Cambria Math" w:hAnsi="Cambria Math"/>
                <w:sz w:val="20"/>
                <w:szCs w:val="20"/>
              </w:rPr>
              <m:t>x,y</m:t>
            </m:r>
          </m:e>
        </m:d>
      </m:oMath>
      <w:r w:rsidR="00F97AAF">
        <w:rPr>
          <w:sz w:val="20"/>
          <w:szCs w:val="20"/>
        </w:rPr>
        <w:t xml:space="preserve"> is in some sense similar to the training examples (1.1). To this end we need a notion of similarity in </w:t>
      </w:r>
      <m:oMath>
        <m:r>
          <m:rPr>
            <m:scr m:val="script"/>
          </m:rPr>
          <w:rPr>
            <w:rFonts w:ascii="Cambria Math" w:hAnsi="Cambria Math"/>
            <w:sz w:val="20"/>
            <w:szCs w:val="20"/>
          </w:rPr>
          <m:t>X</m:t>
        </m:r>
      </m:oMath>
      <w:r w:rsidR="00F97AAF">
        <w:rPr>
          <w:sz w:val="20"/>
          <w:szCs w:val="20"/>
        </w:rPr>
        <w:t xml:space="preserve"> and in </w:t>
      </w:r>
      <m:oMath>
        <m:d>
          <m:dPr>
            <m:begChr m:val="{"/>
            <m:endChr m:val="}"/>
            <m:ctrlPr>
              <w:rPr>
                <w:rFonts w:ascii="Cambria Math" w:hAnsi="Cambria Math"/>
                <w:i/>
                <w:sz w:val="20"/>
                <w:szCs w:val="20"/>
              </w:rPr>
            </m:ctrlPr>
          </m:dPr>
          <m:e>
            <m:r>
              <w:rPr>
                <w:rFonts w:ascii="Cambria Math" w:hAnsi="Cambria Math"/>
                <w:sz w:val="20"/>
                <w:szCs w:val="20"/>
              </w:rPr>
              <m:t>±1</m:t>
            </m:r>
          </m:e>
        </m:d>
      </m:oMath>
      <w:r w:rsidR="00F97AAF">
        <w:rPr>
          <w:sz w:val="20"/>
          <w:szCs w:val="20"/>
        </w:rPr>
        <w:t>.</w:t>
      </w:r>
    </w:p>
    <w:p w14:paraId="22753161" w14:textId="77777777" w:rsidR="00F97AAF" w:rsidRDefault="00F97AAF">
      <w:pPr>
        <w:rPr>
          <w:sz w:val="20"/>
          <w:szCs w:val="20"/>
        </w:rPr>
      </w:pPr>
    </w:p>
    <w:p w14:paraId="214AE179" w14:textId="16C1D351" w:rsidR="00F97AAF" w:rsidRDefault="00AD0B43">
      <w:pPr>
        <w:rPr>
          <w:sz w:val="20"/>
          <w:szCs w:val="20"/>
        </w:rPr>
      </w:pPr>
      <w:r>
        <w:rPr>
          <w:sz w:val="20"/>
          <w:szCs w:val="20"/>
        </w:rPr>
        <w:t>Let us consider a similarity measure of the form</w:t>
      </w:r>
    </w:p>
    <w:p w14:paraId="09DFF6B6" w14:textId="77777777" w:rsidR="00AD0B43" w:rsidRDefault="00AD0B43">
      <w:pPr>
        <w:rPr>
          <w:sz w:val="20"/>
          <w:szCs w:val="20"/>
        </w:rPr>
      </w:pPr>
    </w:p>
    <w:p w14:paraId="0A2F3E3E" w14:textId="58824DFA" w:rsidR="00AD0B43" w:rsidRDefault="008C5D8D">
      <w:pPr>
        <w:rPr>
          <w:sz w:val="20"/>
          <w:szCs w:val="20"/>
        </w:rPr>
      </w:pPr>
      <m:oMath>
        <m:r>
          <w:rPr>
            <w:rFonts w:ascii="Cambria Math" w:hAnsi="Cambria Math"/>
            <w:sz w:val="20"/>
            <w:szCs w:val="20"/>
          </w:rPr>
          <m:t>k</m:t>
        </m:r>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X</m:t>
        </m:r>
        <m:r>
          <m:rPr>
            <m:scr m:val="double-struck"/>
          </m:rPr>
          <w:rPr>
            <w:rFonts w:ascii="Cambria Math" w:hAnsi="Cambria Math"/>
            <w:sz w:val="20"/>
            <w:szCs w:val="20"/>
          </w:rPr>
          <m:t>→R</m:t>
        </m:r>
      </m:oMath>
      <w:r>
        <w:rPr>
          <w:sz w:val="20"/>
          <w:szCs w:val="20"/>
        </w:rPr>
        <w:t xml:space="preserve"> </w:t>
      </w:r>
    </w:p>
    <w:p w14:paraId="1BADA4F4" w14:textId="30158A5F" w:rsidR="008C5D8D" w:rsidRDefault="008C5D8D">
      <w:pPr>
        <w:rPr>
          <w:sz w:val="20"/>
          <w:szCs w:val="20"/>
        </w:rPr>
      </w:pPr>
      <w:r>
        <w:rPr>
          <w:sz w:val="20"/>
          <w:szCs w:val="20"/>
        </w:rPr>
        <w:t xml:space="preserve">         </w:t>
      </w:r>
      <m:oMath>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oMath>
      <w:r>
        <w:rPr>
          <w:sz w:val="20"/>
          <w:szCs w:val="20"/>
        </w:rPr>
        <w:t xml:space="preserve">           (1.2)</w:t>
      </w:r>
    </w:p>
    <w:p w14:paraId="16263033" w14:textId="77777777" w:rsidR="008C5D8D" w:rsidRDefault="008C5D8D">
      <w:pPr>
        <w:rPr>
          <w:sz w:val="20"/>
          <w:szCs w:val="20"/>
        </w:rPr>
      </w:pPr>
    </w:p>
    <w:p w14:paraId="4AE45B6F" w14:textId="40902F22" w:rsidR="008C5D8D" w:rsidRDefault="008C5D8D">
      <w:pPr>
        <w:rPr>
          <w:sz w:val="20"/>
          <w:szCs w:val="20"/>
        </w:rPr>
      </w:pPr>
      <w:r>
        <w:rPr>
          <w:sz w:val="20"/>
          <w:szCs w:val="20"/>
        </w:rPr>
        <w:t xml:space="preserve">that is, a function that, given two patterns </w:t>
      </w:r>
      <m:oMath>
        <m:r>
          <w:rPr>
            <w:rFonts w:ascii="Cambria Math" w:hAnsi="Cambria Math"/>
            <w:sz w:val="20"/>
            <w:szCs w:val="20"/>
          </w:rPr>
          <m:t>x</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 returns a real number characterizing their similarity.</w:t>
      </w:r>
    </w:p>
    <w:p w14:paraId="18366EC0" w14:textId="77777777" w:rsidR="00F32F5D" w:rsidRDefault="00F32F5D">
      <w:pPr>
        <w:rPr>
          <w:sz w:val="20"/>
          <w:szCs w:val="20"/>
        </w:rPr>
      </w:pPr>
    </w:p>
    <w:p w14:paraId="2F7C585A" w14:textId="77777777" w:rsidR="008875A3" w:rsidRDefault="008875A3">
      <w:pPr>
        <w:rPr>
          <w:sz w:val="20"/>
          <w:szCs w:val="20"/>
        </w:rPr>
      </w:pPr>
    </w:p>
    <w:p w14:paraId="0043A3F8" w14:textId="58BA1E6E" w:rsidR="008875A3" w:rsidRDefault="008875A3" w:rsidP="008875A3">
      <w:pPr>
        <w:pStyle w:val="Heading2"/>
      </w:pPr>
      <w:r>
        <w:t>Literature</w:t>
      </w:r>
    </w:p>
    <w:p w14:paraId="47455047" w14:textId="58D551BC" w:rsidR="008875A3" w:rsidRPr="008875A3" w:rsidRDefault="008875A3">
      <w:pPr>
        <w:rPr>
          <w:rFonts w:cstheme="minorHAnsi"/>
          <w:sz w:val="18"/>
          <w:szCs w:val="18"/>
        </w:rPr>
      </w:pPr>
      <w:hyperlink r:id="rId4" w:history="1">
        <w:r w:rsidRPr="008875A3">
          <w:rPr>
            <w:rStyle w:val="Hyperlink"/>
            <w:rFonts w:cstheme="minorHAnsi"/>
            <w:sz w:val="18"/>
            <w:szCs w:val="18"/>
            <w:shd w:val="clear" w:color="auto" w:fill="FFFFFF"/>
          </w:rPr>
          <w:t xml:space="preserve">Learning with Kernels: Support Vector Machines, Regularization, Optimization, and Beyond, Bernhard </w:t>
        </w:r>
        <w:proofErr w:type="spellStart"/>
        <w:r w:rsidRPr="008875A3">
          <w:rPr>
            <w:rStyle w:val="Hyperlink"/>
            <w:rFonts w:cstheme="minorHAnsi"/>
            <w:sz w:val="18"/>
            <w:szCs w:val="18"/>
            <w:shd w:val="clear" w:color="auto" w:fill="FFFFFF"/>
          </w:rPr>
          <w:t>Schoelkopf</w:t>
        </w:r>
        <w:proofErr w:type="spellEnd"/>
        <w:r w:rsidRPr="008875A3">
          <w:rPr>
            <w:rStyle w:val="Hyperlink"/>
            <w:rFonts w:cstheme="minorHAnsi"/>
            <w:sz w:val="18"/>
            <w:szCs w:val="18"/>
            <w:shd w:val="clear" w:color="auto" w:fill="FFFFFF"/>
          </w:rPr>
          <w:t xml:space="preserve">, Alexander J. </w:t>
        </w:r>
        <w:proofErr w:type="spellStart"/>
        <w:r w:rsidRPr="008875A3">
          <w:rPr>
            <w:rStyle w:val="Hyperlink"/>
            <w:rFonts w:cstheme="minorHAnsi"/>
            <w:sz w:val="18"/>
            <w:szCs w:val="18"/>
            <w:shd w:val="clear" w:color="auto" w:fill="FFFFFF"/>
          </w:rPr>
          <w:t>Smola</w:t>
        </w:r>
        <w:proofErr w:type="spellEnd"/>
        <w:r w:rsidRPr="008875A3">
          <w:rPr>
            <w:rStyle w:val="Hyperlink"/>
            <w:rFonts w:cstheme="minorHAnsi"/>
            <w:sz w:val="18"/>
            <w:szCs w:val="18"/>
            <w:shd w:val="clear" w:color="auto" w:fill="FFFFFF"/>
          </w:rPr>
          <w:t>, MIT, 2002</w:t>
        </w:r>
      </w:hyperlink>
    </w:p>
    <w:sectPr w:rsidR="008875A3" w:rsidRPr="0088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A4"/>
    <w:rsid w:val="00042DC8"/>
    <w:rsid w:val="00214EA4"/>
    <w:rsid w:val="00663C75"/>
    <w:rsid w:val="008875A3"/>
    <w:rsid w:val="008C5D8D"/>
    <w:rsid w:val="00A3777E"/>
    <w:rsid w:val="00AD0B43"/>
    <w:rsid w:val="00BC422E"/>
    <w:rsid w:val="00F32F5D"/>
    <w:rsid w:val="00F97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0E607"/>
  <w15:chartTrackingRefBased/>
  <w15:docId w15:val="{E590E0C3-21B4-CA46-BABA-B725C144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5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5A3"/>
    <w:rPr>
      <w:color w:val="0000FF"/>
      <w:u w:val="single"/>
    </w:rPr>
  </w:style>
  <w:style w:type="character" w:customStyle="1" w:styleId="Heading1Char">
    <w:name w:val="Heading 1 Char"/>
    <w:basedOn w:val="DefaultParagraphFont"/>
    <w:link w:val="Heading1"/>
    <w:uiPriority w:val="9"/>
    <w:rsid w:val="008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5A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63C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mitarpg13/deep_learning_and_neural_networks/blob/main/literature/books/scholkopf2002learning_with_kerne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dcterms:created xsi:type="dcterms:W3CDTF">2024-03-26T19:45:00Z</dcterms:created>
  <dcterms:modified xsi:type="dcterms:W3CDTF">2024-03-26T21:57:00Z</dcterms:modified>
</cp:coreProperties>
</file>