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F817" w14:textId="46016AB5" w:rsidR="00503FD8" w:rsidRPr="0087724A" w:rsidRDefault="0087724A" w:rsidP="0087724A">
      <w:pPr>
        <w:pStyle w:val="Heading1"/>
        <w:spacing w:before="0" w:after="0"/>
        <w:rPr>
          <w:sz w:val="28"/>
          <w:szCs w:val="28"/>
        </w:rPr>
      </w:pPr>
      <w:r w:rsidRPr="0087724A">
        <w:rPr>
          <w:sz w:val="28"/>
          <w:szCs w:val="28"/>
        </w:rPr>
        <w:t>Notes on Visualizing High-Layer Features of Deep Network</w:t>
      </w:r>
    </w:p>
    <w:p w14:paraId="1A118343" w14:textId="73DC6CA5" w:rsidR="0087724A" w:rsidRDefault="0087724A">
      <w:pPr>
        <w:rPr>
          <w:sz w:val="20"/>
          <w:szCs w:val="20"/>
        </w:rPr>
      </w:pPr>
      <w:r>
        <w:rPr>
          <w:sz w:val="20"/>
          <w:szCs w:val="20"/>
        </w:rPr>
        <w:t>compiled by D.Gueorguiev 5/18/24</w:t>
      </w:r>
    </w:p>
    <w:p w14:paraId="57021447" w14:textId="77777777" w:rsidR="0087724A" w:rsidRDefault="0087724A">
      <w:pPr>
        <w:rPr>
          <w:sz w:val="20"/>
          <w:szCs w:val="20"/>
        </w:rPr>
      </w:pPr>
    </w:p>
    <w:p w14:paraId="73D80FD1" w14:textId="77777777" w:rsidR="00594A74" w:rsidRDefault="001E22D7">
      <w:pPr>
        <w:rPr>
          <w:sz w:val="20"/>
          <w:szCs w:val="20"/>
        </w:rPr>
      </w:pPr>
      <w:r>
        <w:rPr>
          <w:sz w:val="20"/>
          <w:szCs w:val="20"/>
        </w:rPr>
        <w:t>Two models are considered in this paper: the first one is Deep Belief Net (DBN) discussed by Geoffrey Hinton in his 2006 paper “A fast learning algorithm for deep belief nets”.</w:t>
      </w:r>
      <w:r w:rsidR="00594A74">
        <w:rPr>
          <w:sz w:val="20"/>
          <w:szCs w:val="20"/>
        </w:rPr>
        <w:t xml:space="preserve"> It is obtained by training and stacking three layers as Restricted Boltzman Machines (RBM) in a greedy manner. </w:t>
      </w:r>
    </w:p>
    <w:p w14:paraId="35A42508" w14:textId="77777777" w:rsidR="00594A74" w:rsidRDefault="00594A74">
      <w:pPr>
        <w:rPr>
          <w:sz w:val="20"/>
          <w:szCs w:val="20"/>
        </w:rPr>
      </w:pPr>
    </w:p>
    <w:p w14:paraId="77894752" w14:textId="0566B485" w:rsidR="00594A74" w:rsidRPr="00594A74" w:rsidRDefault="00594A74" w:rsidP="00594A74">
      <w:pPr>
        <w:pStyle w:val="Heading2"/>
        <w:spacing w:before="0" w:after="0"/>
        <w:rPr>
          <w:sz w:val="26"/>
          <w:szCs w:val="26"/>
        </w:rPr>
      </w:pPr>
      <w:r w:rsidRPr="00594A74">
        <w:rPr>
          <w:sz w:val="26"/>
          <w:szCs w:val="26"/>
        </w:rPr>
        <w:t>References</w:t>
      </w:r>
    </w:p>
    <w:p w14:paraId="2D24EF62" w14:textId="0E34699B" w:rsidR="00594A74" w:rsidRDefault="00594A74">
      <w:pPr>
        <w:rPr>
          <w:sz w:val="20"/>
          <w:szCs w:val="20"/>
        </w:rPr>
      </w:pPr>
      <w:hyperlink r:id="rId4" w:history="1">
        <w:r w:rsidRPr="00594A74">
          <w:rPr>
            <w:rStyle w:val="Hyperlink"/>
            <w:rFonts w:cs="Segoe UI"/>
            <w:sz w:val="20"/>
            <w:szCs w:val="20"/>
            <w:shd w:val="clear" w:color="auto" w:fill="FFFFFF"/>
          </w:rPr>
          <w:t xml:space="preserve">Visualizing Higher Level Features of a Deep Network, Dumitru Erhan et al, </w:t>
        </w:r>
        <w:proofErr w:type="spellStart"/>
        <w:r w:rsidRPr="00594A74">
          <w:rPr>
            <w:rStyle w:val="Hyperlink"/>
            <w:rFonts w:cs="Segoe UI"/>
            <w:sz w:val="20"/>
            <w:szCs w:val="20"/>
            <w:shd w:val="clear" w:color="auto" w:fill="FFFFFF"/>
          </w:rPr>
          <w:t>Universite</w:t>
        </w:r>
        <w:proofErr w:type="spellEnd"/>
        <w:r w:rsidRPr="00594A74">
          <w:rPr>
            <w:rStyle w:val="Hyperlink"/>
            <w:rFonts w:cs="Segoe UI"/>
            <w:sz w:val="20"/>
            <w:szCs w:val="20"/>
            <w:shd w:val="clear" w:color="auto" w:fill="FFFFFF"/>
          </w:rPr>
          <w:t xml:space="preserve"> de Montreal, 2009</w:t>
        </w:r>
      </w:hyperlink>
    </w:p>
    <w:p w14:paraId="31B91BE7" w14:textId="5706A336" w:rsidR="001F7333" w:rsidRDefault="001F7333">
      <w:pPr>
        <w:rPr>
          <w:sz w:val="20"/>
          <w:szCs w:val="20"/>
        </w:rPr>
      </w:pPr>
      <w:hyperlink r:id="rId5" w:history="1">
        <w:r w:rsidRPr="001F7333">
          <w:rPr>
            <w:rStyle w:val="Hyperlink"/>
            <w:sz w:val="20"/>
            <w:szCs w:val="20"/>
          </w:rPr>
          <w:t>Simulated Annealing, Wikipedia</w:t>
        </w:r>
      </w:hyperlink>
    </w:p>
    <w:p w14:paraId="58B60D89" w14:textId="3165FB9A" w:rsidR="001F7333" w:rsidRDefault="001F7333">
      <w:pPr>
        <w:rPr>
          <w:sz w:val="20"/>
          <w:szCs w:val="20"/>
        </w:rPr>
      </w:pPr>
      <w:hyperlink r:id="rId6" w:history="1">
        <w:r w:rsidRPr="001F7333">
          <w:rPr>
            <w:rStyle w:val="Hyperlink"/>
            <w:sz w:val="20"/>
            <w:szCs w:val="20"/>
          </w:rPr>
          <w:t>Boltzman Machine, Wikipedia</w:t>
        </w:r>
      </w:hyperlink>
    </w:p>
    <w:p w14:paraId="2040B0D0" w14:textId="2E958DA7" w:rsidR="001F7333" w:rsidRPr="00594A74" w:rsidRDefault="001F7333">
      <w:pPr>
        <w:rPr>
          <w:sz w:val="20"/>
          <w:szCs w:val="20"/>
        </w:rPr>
      </w:pPr>
      <w:hyperlink r:id="rId7" w:history="1">
        <w:r w:rsidRPr="001F7333">
          <w:rPr>
            <w:rStyle w:val="Hyperlink"/>
            <w:sz w:val="20"/>
            <w:szCs w:val="20"/>
          </w:rPr>
          <w:t>Restricted Boltzman Machine, Wikipedia</w:t>
        </w:r>
      </w:hyperlink>
    </w:p>
    <w:p w14:paraId="17FB570F" w14:textId="77777777" w:rsidR="00594A74" w:rsidRDefault="00594A74">
      <w:pPr>
        <w:rPr>
          <w:sz w:val="20"/>
          <w:szCs w:val="20"/>
        </w:rPr>
      </w:pPr>
    </w:p>
    <w:p w14:paraId="7BA180E5" w14:textId="77777777" w:rsidR="00594A74" w:rsidRPr="00594A74" w:rsidRDefault="00594A74" w:rsidP="00594A74">
      <w:pPr>
        <w:pStyle w:val="Heading2"/>
        <w:spacing w:before="0" w:after="0"/>
        <w:rPr>
          <w:sz w:val="26"/>
          <w:szCs w:val="26"/>
        </w:rPr>
      </w:pPr>
      <w:r w:rsidRPr="00594A74">
        <w:rPr>
          <w:sz w:val="26"/>
          <w:szCs w:val="26"/>
        </w:rPr>
        <w:t>Appendix</w:t>
      </w:r>
    </w:p>
    <w:p w14:paraId="66509CB2" w14:textId="77777777" w:rsidR="00701DF2" w:rsidRDefault="00701DF2" w:rsidP="00701DF2">
      <w:pPr>
        <w:rPr>
          <w:sz w:val="20"/>
          <w:szCs w:val="20"/>
        </w:rPr>
      </w:pPr>
    </w:p>
    <w:p w14:paraId="79464772" w14:textId="3250F195" w:rsidR="00701DF2" w:rsidRPr="00701DF2" w:rsidRDefault="00701DF2" w:rsidP="00701DF2">
      <w:pPr>
        <w:pStyle w:val="Heading3"/>
        <w:spacing w:before="0" w:after="0"/>
        <w:rPr>
          <w:sz w:val="24"/>
          <w:szCs w:val="24"/>
        </w:rPr>
      </w:pPr>
      <w:r w:rsidRPr="00701DF2">
        <w:rPr>
          <w:sz w:val="24"/>
          <w:szCs w:val="24"/>
        </w:rPr>
        <w:t xml:space="preserve">Boltzman Machine </w:t>
      </w:r>
    </w:p>
    <w:p w14:paraId="4E4C8543" w14:textId="35739F71" w:rsidR="00594A74" w:rsidRDefault="00701DF2">
      <w:pPr>
        <w:rPr>
          <w:sz w:val="20"/>
          <w:szCs w:val="20"/>
        </w:rPr>
      </w:pPr>
      <w:r>
        <w:rPr>
          <w:sz w:val="20"/>
          <w:szCs w:val="20"/>
        </w:rPr>
        <w:t>A Boltzman machine is a network of units with a total “energy” in analogy to classical mechanics represented by Hamiltonian and defined for the overall network. Its units produce binary results. Boltzman machine weights are stochastic. The global energy E in a Boltzman machine is identical to that of Hopfield networks and Ising models and it is given with:</w:t>
      </w:r>
    </w:p>
    <w:p w14:paraId="55881F40" w14:textId="77777777" w:rsidR="00701DF2" w:rsidRDefault="00701DF2">
      <w:pPr>
        <w:rPr>
          <w:sz w:val="20"/>
          <w:szCs w:val="20"/>
        </w:rPr>
      </w:pPr>
    </w:p>
    <w:p w14:paraId="0F59012D" w14:textId="5131D5FF" w:rsidR="00701DF2" w:rsidRDefault="00701DF2">
      <w:pPr>
        <w:rPr>
          <w:rFonts w:eastAsiaTheme="minorEastAsia"/>
          <w:sz w:val="20"/>
          <w:szCs w:val="20"/>
        </w:rPr>
      </w:pPr>
      <m:oMath>
        <m:r>
          <w:rPr>
            <w:rFonts w:ascii="Cambria Math" w:hAnsi="Cambria Math"/>
            <w:sz w:val="20"/>
            <w:szCs w:val="20"/>
          </w:rPr>
          <m:t>E</m:t>
        </m:r>
        <m:r>
          <w:rPr>
            <w:rFonts w:ascii="Cambria Math" w:hAnsi="Cambria Math"/>
            <w:sz w:val="20"/>
            <w:szCs w:val="20"/>
          </w:rPr>
          <m:t>=-</m:t>
        </m:r>
        <m:d>
          <m:dPr>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i&lt;j</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nary>
              </m:e>
            </m:nary>
          </m:e>
        </m:d>
      </m:oMath>
      <w:r>
        <w:rPr>
          <w:rFonts w:eastAsiaTheme="minorEastAsia"/>
          <w:sz w:val="20"/>
          <w:szCs w:val="20"/>
        </w:rPr>
        <w:t xml:space="preserve">    (A.1)</w:t>
      </w:r>
    </w:p>
    <w:p w14:paraId="7F606142" w14:textId="77777777" w:rsidR="00701DF2" w:rsidRDefault="00701DF2">
      <w:pPr>
        <w:rPr>
          <w:rFonts w:eastAsiaTheme="minorEastAsia"/>
          <w:sz w:val="20"/>
          <w:szCs w:val="20"/>
        </w:rPr>
      </w:pPr>
    </w:p>
    <w:p w14:paraId="331CF337" w14:textId="77777777" w:rsidR="00701DF2" w:rsidRDefault="00701DF2" w:rsidP="00701DF2">
      <w:pPr>
        <w:rPr>
          <w:rFonts w:eastAsiaTheme="minorEastAsia"/>
          <w:sz w:val="20"/>
          <w:szCs w:val="20"/>
        </w:rPr>
      </w:pPr>
      <w:r>
        <w:rPr>
          <w:sz w:val="20"/>
          <w:szCs w:val="20"/>
        </w:rPr>
        <w:t xml:space="preserve">In (A.1)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Pr>
          <w:rFonts w:eastAsiaTheme="minorEastAsia"/>
          <w:sz w:val="20"/>
          <w:szCs w:val="20"/>
        </w:rPr>
        <w:t xml:space="preserve"> represents the connection strength between unit </w:t>
      </w:r>
      <m:oMath>
        <m:r>
          <w:rPr>
            <w:rFonts w:ascii="Cambria Math" w:eastAsiaTheme="minorEastAsia" w:hAnsi="Cambria Math"/>
            <w:sz w:val="20"/>
            <w:szCs w:val="20"/>
          </w:rPr>
          <m:t>j</m:t>
        </m:r>
      </m:oMath>
      <w:r>
        <w:rPr>
          <w:rFonts w:eastAsiaTheme="minorEastAsia"/>
          <w:sz w:val="20"/>
          <w:szCs w:val="20"/>
        </w:rPr>
        <w:t xml:space="preserve"> and unit </w:t>
      </w:r>
      <m:oMath>
        <m:r>
          <w:rPr>
            <w:rFonts w:ascii="Cambria Math" w:eastAsiaTheme="minorEastAsia" w:hAnsi="Cambria Math"/>
            <w:sz w:val="20"/>
            <w:szCs w:val="20"/>
          </w:rPr>
          <m:t>i</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is the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of unit </w:t>
      </w:r>
      <m:oMath>
        <m:r>
          <w:rPr>
            <w:rFonts w:ascii="Cambria Math" w:eastAsiaTheme="minorEastAsia" w:hAnsi="Cambria Math"/>
            <w:sz w:val="20"/>
            <w:szCs w:val="20"/>
          </w:rPr>
          <m:t>i</m:t>
        </m:r>
      </m:oMath>
      <w:r>
        <w:rPr>
          <w:rFonts w:eastAsiaTheme="minorEastAsia"/>
          <w:sz w:val="20"/>
          <w:szCs w:val="20"/>
        </w:rPr>
        <w:t xml:space="preserve">. </w:t>
      </w:r>
    </w:p>
    <w:p w14:paraId="5FE7C614" w14:textId="46AD6E7B" w:rsidR="00701DF2" w:rsidRDefault="00701DF2">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oMath>
      <w:r>
        <w:rPr>
          <w:rFonts w:eastAsiaTheme="minorEastAsia"/>
          <w:sz w:val="20"/>
          <w:szCs w:val="20"/>
        </w:rPr>
        <w:t xml:space="preserve"> is the bias of unit </w:t>
      </w:r>
      <m:oMath>
        <m:r>
          <w:rPr>
            <w:rFonts w:ascii="Cambria Math" w:eastAsiaTheme="minorEastAsia" w:hAnsi="Cambria Math"/>
            <w:sz w:val="20"/>
            <w:szCs w:val="20"/>
          </w:rPr>
          <m:t>i</m:t>
        </m:r>
      </m:oMath>
      <w:r>
        <w:rPr>
          <w:rFonts w:eastAsiaTheme="minorEastAsia"/>
          <w:sz w:val="20"/>
          <w:szCs w:val="20"/>
        </w:rPr>
        <w:t xml:space="preserve"> in the global energy function. </w:t>
      </w:r>
      <w:r w:rsidR="007F2780">
        <w:rPr>
          <w:rFonts w:eastAsiaTheme="minorEastAsia"/>
          <w:sz w:val="20"/>
          <w:szCs w:val="20"/>
        </w:rPr>
        <w:t>(</w:t>
      </w:r>
      <m:oMath>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θ</m:t>
            </m:r>
          </m:e>
          <m:sub>
            <m:r>
              <w:rPr>
                <w:rFonts w:ascii="Cambria Math" w:hAnsi="Cambria Math"/>
                <w:sz w:val="20"/>
                <w:szCs w:val="20"/>
              </w:rPr>
              <m:t>i</m:t>
            </m:r>
          </m:sub>
        </m:sSub>
      </m:oMath>
      <w:r w:rsidR="007F2780">
        <w:rPr>
          <w:rFonts w:eastAsiaTheme="minorEastAsia"/>
          <w:sz w:val="20"/>
          <w:szCs w:val="20"/>
        </w:rPr>
        <w:t xml:space="preserve"> is the activation threshold for the unit.)</w:t>
      </w:r>
    </w:p>
    <w:p w14:paraId="3569E286" w14:textId="78915CB9" w:rsidR="007F2780" w:rsidRDefault="007F2780">
      <w:pPr>
        <w:rPr>
          <w:sz w:val="20"/>
          <w:szCs w:val="20"/>
        </w:rPr>
      </w:pPr>
      <w:r>
        <w:rPr>
          <w:rFonts w:eastAsiaTheme="minorEastAsia"/>
          <w:sz w:val="20"/>
          <w:szCs w:val="20"/>
        </w:rPr>
        <w:t xml:space="preserve">Often the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Pr>
          <w:rFonts w:eastAsiaTheme="minorEastAsia"/>
          <w:sz w:val="20"/>
          <w:szCs w:val="20"/>
        </w:rPr>
        <w:t xml:space="preserve"> are represented as a symmetric matrix </w:t>
      </w:r>
      <m:oMath>
        <m:r>
          <w:rPr>
            <w:rFonts w:ascii="Cambria Math" w:eastAsiaTheme="minorEastAsia" w:hAnsi="Cambria Math"/>
            <w:sz w:val="20"/>
            <w:szCs w:val="20"/>
          </w:rPr>
          <m:t>W</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ij</m:t>
                </m:r>
              </m:sub>
            </m:sSub>
          </m:e>
        </m:d>
      </m:oMath>
      <w:r>
        <w:rPr>
          <w:rFonts w:eastAsiaTheme="minorEastAsia"/>
          <w:sz w:val="20"/>
          <w:szCs w:val="20"/>
        </w:rPr>
        <w:t xml:space="preserve"> with zeros along the diagonal.</w:t>
      </w:r>
    </w:p>
    <w:p w14:paraId="01D591C8" w14:textId="77777777" w:rsidR="00701DF2" w:rsidRDefault="00701DF2">
      <w:pPr>
        <w:rPr>
          <w:sz w:val="20"/>
          <w:szCs w:val="20"/>
        </w:rPr>
      </w:pPr>
    </w:p>
    <w:p w14:paraId="29E7248A" w14:textId="5398FD90" w:rsidR="00701DF2" w:rsidRDefault="00701DF2">
      <w:pPr>
        <w:rPr>
          <w:sz w:val="20"/>
          <w:szCs w:val="20"/>
        </w:rPr>
      </w:pPr>
      <w:r>
        <w:rPr>
          <w:noProof/>
          <w:sz w:val="20"/>
          <w:szCs w:val="20"/>
        </w:rPr>
        <w:drawing>
          <wp:inline distT="0" distB="0" distL="0" distR="0" wp14:anchorId="2F446910" wp14:editId="02735C67">
            <wp:extent cx="1344678" cy="1288415"/>
            <wp:effectExtent l="0" t="0" r="1905" b="0"/>
            <wp:docPr id="1280316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168" name="Picture 1"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3248" cy="1315790"/>
                    </a:xfrm>
                    <a:prstGeom prst="rect">
                      <a:avLst/>
                    </a:prstGeom>
                  </pic:spPr>
                </pic:pic>
              </a:graphicData>
            </a:graphic>
          </wp:inline>
        </w:drawing>
      </w:r>
    </w:p>
    <w:p w14:paraId="656D3024" w14:textId="6A47E497" w:rsidR="00701DF2" w:rsidRDefault="00701DF2">
      <w:pPr>
        <w:rPr>
          <w:rFonts w:eastAsiaTheme="minorEastAsia"/>
          <w:sz w:val="20"/>
          <w:szCs w:val="20"/>
        </w:rPr>
      </w:pPr>
      <w:r>
        <w:rPr>
          <w:sz w:val="20"/>
          <w:szCs w:val="20"/>
        </w:rPr>
        <w:t xml:space="preserve">Figure A.1: graphical representation of Boltzman machine with some weights labeled. Each undirected edge represents a dependency, and it is weighed with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Pr>
          <w:rFonts w:eastAsiaTheme="minorEastAsia"/>
          <w:sz w:val="20"/>
          <w:szCs w:val="20"/>
        </w:rPr>
        <w:t>. In this example there are 3 hidden units depicted with blue and 4 visible units depicted with white. Therefore</w:t>
      </w:r>
      <w:r w:rsidR="00AD3A75">
        <w:rPr>
          <w:rFonts w:eastAsiaTheme="minorEastAsia"/>
          <w:sz w:val="20"/>
          <w:szCs w:val="20"/>
        </w:rPr>
        <w:t>,</w:t>
      </w:r>
      <w:r>
        <w:rPr>
          <w:rFonts w:eastAsiaTheme="minorEastAsia"/>
          <w:sz w:val="20"/>
          <w:szCs w:val="20"/>
        </w:rPr>
        <w:t xml:space="preserve"> this is not a Restricted Boltzman Machine (for definition see the next section on Restricted Boltzman Machines).</w:t>
      </w:r>
    </w:p>
    <w:p w14:paraId="033D0A97" w14:textId="77777777" w:rsidR="00701DF2" w:rsidRDefault="00701DF2">
      <w:pPr>
        <w:rPr>
          <w:rFonts w:eastAsiaTheme="minorEastAsia"/>
          <w:sz w:val="20"/>
          <w:szCs w:val="20"/>
        </w:rPr>
      </w:pPr>
    </w:p>
    <w:p w14:paraId="472EA71F" w14:textId="5842404C" w:rsidR="00701DF2" w:rsidRPr="007F2780" w:rsidRDefault="007F2780">
      <w:pPr>
        <w:rPr>
          <w:b/>
          <w:bCs/>
          <w:sz w:val="20"/>
          <w:szCs w:val="20"/>
        </w:rPr>
      </w:pPr>
      <w:r w:rsidRPr="007F2780">
        <w:rPr>
          <w:b/>
          <w:bCs/>
          <w:sz w:val="20"/>
          <w:szCs w:val="20"/>
        </w:rPr>
        <w:t>Unit state probability</w:t>
      </w:r>
    </w:p>
    <w:p w14:paraId="64976988" w14:textId="0976DA0D" w:rsidR="007F2780" w:rsidRDefault="007F2780">
      <w:pPr>
        <w:rPr>
          <w:rFonts w:eastAsiaTheme="minorEastAsia"/>
          <w:sz w:val="20"/>
          <w:szCs w:val="20"/>
        </w:rPr>
      </w:pPr>
      <w:r>
        <w:rPr>
          <w:sz w:val="20"/>
          <w:szCs w:val="20"/>
        </w:rPr>
        <w:t xml:space="preserve">The difference in the global energy that results from a single unit </w:t>
      </w:r>
      <m:oMath>
        <m:r>
          <w:rPr>
            <w:rFonts w:ascii="Cambria Math" w:hAnsi="Cambria Math"/>
            <w:sz w:val="20"/>
            <w:szCs w:val="20"/>
          </w:rPr>
          <m:t>i</m:t>
        </m:r>
      </m:oMath>
      <w:r>
        <w:rPr>
          <w:sz w:val="20"/>
          <w:szCs w:val="20"/>
        </w:rPr>
        <w:t xml:space="preserve"> equaling </w:t>
      </w:r>
      <m:oMath>
        <m:r>
          <w:rPr>
            <w:rFonts w:ascii="Cambria Math" w:hAnsi="Cambria Math"/>
            <w:sz w:val="20"/>
            <w:szCs w:val="20"/>
          </w:rPr>
          <m:t>0</m:t>
        </m:r>
      </m:oMath>
      <w:r>
        <w:rPr>
          <w:sz w:val="20"/>
          <w:szCs w:val="20"/>
        </w:rPr>
        <w:t xml:space="preserve"> (off) vs </w:t>
      </w:r>
      <m:oMath>
        <m:r>
          <w:rPr>
            <w:rFonts w:ascii="Cambria Math" w:hAnsi="Cambria Math"/>
            <w:sz w:val="20"/>
            <w:szCs w:val="20"/>
          </w:rPr>
          <m:t>1</m:t>
        </m:r>
      </m:oMath>
      <w:r>
        <w:rPr>
          <w:sz w:val="20"/>
          <w:szCs w:val="20"/>
        </w:rPr>
        <w:t xml:space="preserve"> (on) denoted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w:r>
        <w:rPr>
          <w:rFonts w:eastAsiaTheme="minorEastAsia"/>
          <w:sz w:val="20"/>
          <w:szCs w:val="20"/>
        </w:rPr>
        <w:t>, assuming a symmetric matrix of weighs, is given by:</w:t>
      </w:r>
    </w:p>
    <w:p w14:paraId="6D9901DB" w14:textId="77777777" w:rsidR="007F2780" w:rsidRDefault="007F2780">
      <w:pPr>
        <w:rPr>
          <w:rFonts w:eastAsiaTheme="minorEastAsia"/>
          <w:sz w:val="20"/>
          <w:szCs w:val="20"/>
        </w:rPr>
      </w:pPr>
    </w:p>
    <w:p w14:paraId="16C9CDF4" w14:textId="4333F37B" w:rsidR="007F2780" w:rsidRDefault="001A0797">
      <w:pPr>
        <w:rPr>
          <w:rFonts w:eastAsiaTheme="minorEastAsia"/>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j&gt;i</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j&lt;i</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oMath>
      <w:r>
        <w:rPr>
          <w:rFonts w:eastAsiaTheme="minorEastAsia"/>
          <w:sz w:val="20"/>
          <w:szCs w:val="20"/>
        </w:rPr>
        <w:t xml:space="preserve"> </w:t>
      </w:r>
    </w:p>
    <w:p w14:paraId="0547DA64" w14:textId="77777777" w:rsidR="001A0797" w:rsidRDefault="001A0797">
      <w:pPr>
        <w:rPr>
          <w:rFonts w:eastAsiaTheme="minorEastAsia"/>
          <w:sz w:val="20"/>
          <w:szCs w:val="20"/>
        </w:rPr>
      </w:pPr>
    </w:p>
    <w:p w14:paraId="66B03798" w14:textId="793E8D7B" w:rsidR="001A0797" w:rsidRDefault="001A0797">
      <w:pPr>
        <w:rPr>
          <w:rFonts w:eastAsiaTheme="minorEastAsia"/>
          <w:sz w:val="20"/>
          <w:szCs w:val="20"/>
        </w:rPr>
      </w:pPr>
      <w:r>
        <w:rPr>
          <w:rFonts w:eastAsiaTheme="minorEastAsia"/>
          <w:sz w:val="20"/>
          <w:szCs w:val="20"/>
        </w:rPr>
        <w:t>This can be expressed as the difference of energies of two states:</w:t>
      </w:r>
    </w:p>
    <w:p w14:paraId="309CC9C6" w14:textId="77777777" w:rsidR="001A0797" w:rsidRDefault="001A0797">
      <w:pPr>
        <w:rPr>
          <w:rFonts w:eastAsiaTheme="minorEastAsia"/>
          <w:sz w:val="20"/>
          <w:szCs w:val="20"/>
        </w:rPr>
      </w:pPr>
    </w:p>
    <w:p w14:paraId="2C9CF072" w14:textId="7991C485" w:rsidR="001A0797" w:rsidRDefault="001A0797">
      <w:pPr>
        <w:rPr>
          <w:rFonts w:eastAsiaTheme="minorEastAsia"/>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r>
              <m:rPr>
                <m:sty m:val="p"/>
              </m:rPr>
              <w:rPr>
                <w:rFonts w:ascii="Cambria Math" w:hAnsi="Cambria Math"/>
                <w:sz w:val="20"/>
                <w:szCs w:val="20"/>
              </w:rPr>
              <m:t>off</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r>
              <m:rPr>
                <m:sty m:val="p"/>
              </m:rPr>
              <w:rPr>
                <w:rFonts w:ascii="Cambria Math" w:hAnsi="Cambria Math"/>
                <w:sz w:val="20"/>
                <w:szCs w:val="20"/>
              </w:rPr>
              <m:t>on</m:t>
            </m:r>
          </m:sub>
        </m:sSub>
      </m:oMath>
      <w:r>
        <w:rPr>
          <w:rFonts w:eastAsiaTheme="minorEastAsia"/>
          <w:sz w:val="20"/>
          <w:szCs w:val="20"/>
        </w:rPr>
        <w:t xml:space="preserve"> </w:t>
      </w:r>
    </w:p>
    <w:p w14:paraId="2389FCFC" w14:textId="77777777" w:rsidR="001A0797" w:rsidRDefault="001A0797">
      <w:pPr>
        <w:rPr>
          <w:rFonts w:eastAsiaTheme="minorEastAsia"/>
          <w:sz w:val="20"/>
          <w:szCs w:val="20"/>
        </w:rPr>
      </w:pPr>
    </w:p>
    <w:p w14:paraId="456FA357" w14:textId="7670E031" w:rsidR="001A0797" w:rsidRDefault="001A0797">
      <w:pPr>
        <w:rPr>
          <w:rFonts w:eastAsiaTheme="minorEastAsia"/>
          <w:sz w:val="20"/>
          <w:szCs w:val="20"/>
        </w:rPr>
      </w:pPr>
      <w:r>
        <w:rPr>
          <w:rFonts w:eastAsiaTheme="minorEastAsia"/>
          <w:sz w:val="20"/>
          <w:szCs w:val="20"/>
        </w:rPr>
        <w:lastRenderedPageBreak/>
        <w:t xml:space="preserve">Substituting the energy of each state with its relative probability according to the Boltzmann factor </w:t>
      </w:r>
      <w:r w:rsidR="005320F2">
        <w:rPr>
          <w:rFonts w:eastAsiaTheme="minorEastAsia"/>
          <w:sz w:val="20"/>
          <w:szCs w:val="20"/>
        </w:rPr>
        <w:t>(the property of a Boltzmann distribution that the energy of a state is proportional to the negative log probability of that state) gives</w:t>
      </w:r>
      <w:r w:rsidR="003B04DC">
        <w:rPr>
          <w:rFonts w:eastAsiaTheme="minorEastAsia"/>
          <w:sz w:val="20"/>
          <w:szCs w:val="20"/>
        </w:rPr>
        <w:t>:</w:t>
      </w:r>
    </w:p>
    <w:p w14:paraId="25B97AC9" w14:textId="77777777" w:rsidR="005320F2" w:rsidRDefault="005320F2">
      <w:pPr>
        <w:rPr>
          <w:rFonts w:eastAsiaTheme="minorEastAsia"/>
          <w:sz w:val="20"/>
          <w:szCs w:val="20"/>
        </w:rPr>
      </w:pPr>
    </w:p>
    <w:p w14:paraId="693C45EB" w14:textId="6E46BA8E" w:rsidR="005320F2" w:rsidRDefault="005320F2">
      <w:pPr>
        <w:rPr>
          <w:rFonts w:eastAsiaTheme="minorEastAsia"/>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B</m:t>
            </m:r>
          </m:sub>
        </m:sSub>
        <m:r>
          <w:rPr>
            <w:rFonts w:ascii="Cambria Math" w:hAnsi="Cambria Math"/>
            <w:sz w:val="20"/>
            <w:szCs w:val="20"/>
          </w:rPr>
          <m:t xml:space="preserve">T </m:t>
        </m:r>
        <m:r>
          <m:rPr>
            <m:sty m:val="p"/>
          </m:rPr>
          <w:rPr>
            <w:rFonts w:ascii="Cambria Math" w:hAnsi="Cambria Math"/>
            <w:sz w:val="20"/>
            <w:szCs w:val="20"/>
          </w:rPr>
          <m:t>ln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off</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eastAsiaTheme="minorEastAsia" w:hAnsi="Cambria Math"/>
                <w:sz w:val="20"/>
                <w:szCs w:val="20"/>
              </w:rPr>
              <m:t>T</m:t>
            </m:r>
            <m:r>
              <w:rPr>
                <w:rFonts w:ascii="Cambria Math" w:eastAsiaTheme="minorEastAsia" w:hAnsi="Cambria Math"/>
                <w:sz w:val="20"/>
                <w:szCs w:val="20"/>
              </w:rPr>
              <m:t xml:space="preserve"> </m:t>
            </m:r>
            <m:r>
              <m:rPr>
                <m:sty m:val="p"/>
              </m:rPr>
              <w:rPr>
                <w:rFonts w:ascii="Cambria Math" w:hAnsi="Cambria Math"/>
                <w:sz w:val="20"/>
                <w:szCs w:val="20"/>
              </w:rPr>
              <m:t>ln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m:t>
                    </m:r>
                    <m:r>
                      <m:rPr>
                        <m:sty m:val="p"/>
                      </m:rPr>
                      <w:rPr>
                        <w:rFonts w:ascii="Cambria Math" w:hAnsi="Cambria Math"/>
                        <w:sz w:val="20"/>
                        <w:szCs w:val="20"/>
                      </w:rPr>
                      <m:t>n</m:t>
                    </m:r>
                  </m:sub>
                </m:sSub>
              </m:e>
            </m:d>
          </m:e>
        </m:d>
      </m:oMath>
      <w:r>
        <w:rPr>
          <w:rFonts w:eastAsiaTheme="minorEastAsia"/>
          <w:sz w:val="20"/>
          <w:szCs w:val="20"/>
        </w:rPr>
        <w:t xml:space="preserve"> </w:t>
      </w:r>
    </w:p>
    <w:p w14:paraId="1EFD57D3" w14:textId="77777777" w:rsidR="005320F2" w:rsidRDefault="005320F2">
      <w:pPr>
        <w:rPr>
          <w:rFonts w:eastAsiaTheme="minorEastAsia"/>
          <w:sz w:val="20"/>
          <w:szCs w:val="20"/>
        </w:rPr>
      </w:pPr>
    </w:p>
    <w:p w14:paraId="59DFCA18" w14:textId="2EEC0845" w:rsidR="005320F2" w:rsidRDefault="00830E92">
      <w:pPr>
        <w:rPr>
          <w:rFonts w:eastAsiaTheme="minorEastAsia"/>
          <w:sz w:val="20"/>
          <w:szCs w:val="20"/>
        </w:rPr>
      </w:pPr>
      <w:r>
        <w:rPr>
          <w:rFonts w:eastAsiaTheme="minorEastAsia"/>
          <w:sz w:val="20"/>
          <w:szCs w:val="20"/>
        </w:rPr>
        <w:t xml:space="preserve">where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B</m:t>
            </m:r>
          </m:sub>
        </m:sSub>
      </m:oMath>
      <w:r>
        <w:rPr>
          <w:rFonts w:eastAsiaTheme="minorEastAsia"/>
          <w:sz w:val="20"/>
          <w:szCs w:val="20"/>
        </w:rPr>
        <w:t xml:space="preserve"> is the Boltzmann constant and is absorbed into the artificial notion of temperature </w:t>
      </w:r>
      <m:oMath>
        <m:r>
          <w:rPr>
            <w:rFonts w:ascii="Cambria Math" w:eastAsiaTheme="minorEastAsia" w:hAnsi="Cambria Math"/>
            <w:sz w:val="20"/>
            <w:szCs w:val="20"/>
          </w:rPr>
          <m:t>T</m:t>
        </m:r>
      </m:oMath>
      <w:r>
        <w:rPr>
          <w:rFonts w:eastAsiaTheme="minorEastAsia"/>
          <w:sz w:val="20"/>
          <w:szCs w:val="20"/>
        </w:rPr>
        <w:t>. We then rearrange terms and consider the probabilities of the unit on and off must sun to one:</w:t>
      </w:r>
    </w:p>
    <w:p w14:paraId="71DFD184" w14:textId="77777777" w:rsidR="00830E92" w:rsidRDefault="00830E92">
      <w:pPr>
        <w:rPr>
          <w:rFonts w:eastAsiaTheme="minorEastAsia"/>
          <w:sz w:val="20"/>
          <w:szCs w:val="20"/>
        </w:rPr>
      </w:pPr>
    </w:p>
    <w:p w14:paraId="65FED085" w14:textId="7323DB9A" w:rsidR="00830E92" w:rsidRDefault="00830E92">
      <w:pPr>
        <w:rPr>
          <w:rFonts w:eastAsiaTheme="minorEastAsia"/>
          <w:iCs/>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e>
        </m:d>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r>
              <w:rPr>
                <w:rFonts w:ascii="Cambria Math" w:hAnsi="Cambria Math"/>
                <w:sz w:val="20"/>
                <w:szCs w:val="20"/>
              </w:rPr>
              <m:t>1-</m:t>
            </m:r>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e>
        </m:d>
      </m:oMath>
      <w:r>
        <w:rPr>
          <w:rFonts w:eastAsiaTheme="minorEastAsia"/>
          <w:iCs/>
          <w:sz w:val="20"/>
          <w:szCs w:val="20"/>
        </w:rPr>
        <w:t xml:space="preserve"> </w:t>
      </w:r>
    </w:p>
    <w:p w14:paraId="174C36EF" w14:textId="77777777" w:rsidR="00830E92" w:rsidRDefault="00830E92">
      <w:pPr>
        <w:rPr>
          <w:rFonts w:eastAsiaTheme="minorEastAsia"/>
          <w:iCs/>
          <w:sz w:val="20"/>
          <w:szCs w:val="20"/>
        </w:rPr>
      </w:pPr>
    </w:p>
    <w:p w14:paraId="08F34AEA" w14:textId="0E871D19" w:rsidR="00830E92" w:rsidRDefault="00830E92">
      <w:pPr>
        <w:rPr>
          <w:rFonts w:eastAsiaTheme="minorEastAsia"/>
          <w:iCs/>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num>
              <m:den>
                <m:r>
                  <w:rPr>
                    <w:rFonts w:ascii="Cambria Math" w:hAnsi="Cambria Math"/>
                    <w:sz w:val="20"/>
                    <w:szCs w:val="20"/>
                  </w:rPr>
                  <m:t>1-</m:t>
                </m:r>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den>
            </m:f>
          </m:e>
        </m:d>
      </m:oMath>
      <w:r>
        <w:rPr>
          <w:rFonts w:eastAsiaTheme="minorEastAsia"/>
          <w:iCs/>
          <w:sz w:val="20"/>
          <w:szCs w:val="20"/>
        </w:rPr>
        <w:t xml:space="preserve"> </w:t>
      </w:r>
    </w:p>
    <w:p w14:paraId="2C2792E4" w14:textId="77777777" w:rsidR="00830E92" w:rsidRDefault="00830E92">
      <w:pPr>
        <w:rPr>
          <w:rFonts w:eastAsiaTheme="minorEastAsia"/>
          <w:iCs/>
          <w:sz w:val="20"/>
          <w:szCs w:val="20"/>
        </w:rPr>
      </w:pPr>
    </w:p>
    <w:p w14:paraId="31C9DB7C" w14:textId="34A4A216" w:rsidR="00830E92" w:rsidRDefault="00830E92" w:rsidP="00830E92">
      <w:pPr>
        <w:rPr>
          <w:rFonts w:eastAsiaTheme="minorEastAsia"/>
          <w:iCs/>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f>
              <m:fPr>
                <m:ctrlPr>
                  <w:rPr>
                    <w:rFonts w:ascii="Cambria Math" w:hAnsi="Cambria Math"/>
                    <w:i/>
                    <w:iCs/>
                    <w:sz w:val="20"/>
                    <w:szCs w:val="20"/>
                  </w:rPr>
                </m:ctrlPr>
              </m:fPr>
              <m:num>
                <m:r>
                  <w:rPr>
                    <w:rFonts w:ascii="Cambria Math" w:hAnsi="Cambria Math"/>
                    <w:sz w:val="20"/>
                    <w:szCs w:val="20"/>
                  </w:rPr>
                  <m:t>1-</m:t>
                </m:r>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num>
              <m:den>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den>
            </m:f>
          </m:e>
        </m:d>
      </m:oMath>
      <w:r>
        <w:rPr>
          <w:rFonts w:eastAsiaTheme="minorEastAsia"/>
          <w:iCs/>
          <w:sz w:val="20"/>
          <w:szCs w:val="20"/>
        </w:rPr>
        <w:t xml:space="preserve"> </w:t>
      </w:r>
    </w:p>
    <w:p w14:paraId="1196C063" w14:textId="77777777" w:rsidR="00830E92" w:rsidRDefault="00830E92" w:rsidP="00830E92">
      <w:pPr>
        <w:rPr>
          <w:rFonts w:eastAsiaTheme="minorEastAsia"/>
          <w:iCs/>
          <w:sz w:val="20"/>
          <w:szCs w:val="20"/>
        </w:rPr>
      </w:pPr>
    </w:p>
    <w:p w14:paraId="64AB5011" w14:textId="6299DE84" w:rsidR="00830E92" w:rsidRDefault="00830E92" w:rsidP="00830E92">
      <w:pPr>
        <w:rPr>
          <w:rFonts w:eastAsiaTheme="minorEastAsia"/>
          <w:iCs/>
          <w:sz w:val="20"/>
          <w:szCs w:val="20"/>
        </w:rPr>
      </w:pPr>
      <w:r>
        <w:rPr>
          <w:rFonts w:eastAsiaTheme="minorEastAsia"/>
          <w:iCs/>
          <w:sz w:val="20"/>
          <w:szCs w:val="20"/>
        </w:rPr>
        <w:t xml:space="preserve">Solving for </w:t>
      </w:r>
      <m:oMath>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oMath>
      <w:r>
        <w:rPr>
          <w:rFonts w:eastAsiaTheme="minorEastAsia"/>
          <w:iCs/>
          <w:sz w:val="20"/>
          <w:szCs w:val="20"/>
        </w:rPr>
        <w:t xml:space="preserve"> gives </w:t>
      </w:r>
    </w:p>
    <w:p w14:paraId="7586D28F" w14:textId="77777777" w:rsidR="00830E92" w:rsidRDefault="00830E92" w:rsidP="00830E92">
      <w:pPr>
        <w:rPr>
          <w:rFonts w:eastAsiaTheme="minorEastAsia"/>
          <w:iCs/>
          <w:sz w:val="20"/>
          <w:szCs w:val="20"/>
        </w:rPr>
      </w:pPr>
    </w:p>
    <w:p w14:paraId="0FD92CFC" w14:textId="0E7BDEC5" w:rsidR="00830E92" w:rsidRDefault="00830E92" w:rsidP="00830E92">
      <w:pPr>
        <w:rPr>
          <w:rFonts w:eastAsiaTheme="minorEastAsia"/>
          <w:iCs/>
          <w:sz w:val="20"/>
          <w:szCs w:val="20"/>
        </w:rPr>
      </w:pPr>
      <m:oMath>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r>
              <m:rPr>
                <m:sty m:val="p"/>
              </m:rPr>
              <w:rPr>
                <w:rFonts w:ascii="Cambria Math" w:eastAsiaTheme="minorEastAsia" w:hAnsi="Cambria Math"/>
                <w:sz w:val="20"/>
                <w:szCs w:val="20"/>
              </w:rPr>
              <m:t>exp</m:t>
            </m:r>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e>
            </m:d>
          </m:den>
        </m:f>
      </m:oMath>
      <w:r>
        <w:rPr>
          <w:rFonts w:eastAsiaTheme="minorEastAsia"/>
          <w:iCs/>
          <w:sz w:val="20"/>
          <w:szCs w:val="20"/>
        </w:rPr>
        <w:t xml:space="preserve"> </w:t>
      </w:r>
    </w:p>
    <w:p w14:paraId="31BDC7FD" w14:textId="77777777" w:rsidR="00830E92" w:rsidRDefault="00830E92" w:rsidP="00830E92">
      <w:pPr>
        <w:rPr>
          <w:rFonts w:eastAsiaTheme="minorEastAsia"/>
          <w:iCs/>
          <w:sz w:val="20"/>
          <w:szCs w:val="20"/>
        </w:rPr>
      </w:pPr>
    </w:p>
    <w:p w14:paraId="71F39156" w14:textId="3A56B01C" w:rsidR="00E41FBF" w:rsidRDefault="00E41FBF" w:rsidP="00830E92">
      <w:pPr>
        <w:rPr>
          <w:rFonts w:eastAsiaTheme="minorEastAsia"/>
          <w:iCs/>
          <w:sz w:val="20"/>
          <w:szCs w:val="20"/>
        </w:rPr>
      </w:pPr>
      <w:r>
        <w:rPr>
          <w:rFonts w:eastAsiaTheme="minorEastAsia"/>
          <w:iCs/>
          <w:sz w:val="20"/>
          <w:szCs w:val="20"/>
        </w:rPr>
        <w:t xml:space="preserve">This relation is the source of the logistic function found in probability expressions in variants of the Boltzmann machine. </w:t>
      </w:r>
    </w:p>
    <w:p w14:paraId="5DEB0CEF" w14:textId="77777777" w:rsidR="00E41FBF" w:rsidRDefault="00E41FBF" w:rsidP="00830E92">
      <w:pPr>
        <w:rPr>
          <w:rFonts w:eastAsiaTheme="minorEastAsia"/>
          <w:iCs/>
          <w:sz w:val="20"/>
          <w:szCs w:val="20"/>
        </w:rPr>
      </w:pPr>
    </w:p>
    <w:p w14:paraId="30B7E98B" w14:textId="02B3407E" w:rsidR="00830E92" w:rsidRPr="00830E92" w:rsidRDefault="00830E92" w:rsidP="00830E92">
      <w:pPr>
        <w:rPr>
          <w:rFonts w:eastAsiaTheme="minorEastAsia"/>
          <w:b/>
          <w:bCs/>
          <w:iCs/>
          <w:sz w:val="20"/>
          <w:szCs w:val="20"/>
        </w:rPr>
      </w:pPr>
      <w:r w:rsidRPr="00830E92">
        <w:rPr>
          <w:rFonts w:eastAsiaTheme="minorEastAsia"/>
          <w:b/>
          <w:bCs/>
          <w:iCs/>
          <w:sz w:val="20"/>
          <w:szCs w:val="20"/>
        </w:rPr>
        <w:t>Equilibrium state</w:t>
      </w:r>
    </w:p>
    <w:p w14:paraId="43026693" w14:textId="77777777" w:rsidR="00830E92" w:rsidRDefault="00830E92">
      <w:pPr>
        <w:rPr>
          <w:sz w:val="20"/>
          <w:szCs w:val="20"/>
        </w:rPr>
      </w:pPr>
    </w:p>
    <w:p w14:paraId="26621C7B" w14:textId="382919BE" w:rsidR="00830E92" w:rsidRDefault="00830E92">
      <w:pPr>
        <w:rPr>
          <w:sz w:val="20"/>
          <w:szCs w:val="20"/>
        </w:rPr>
      </w:pPr>
      <w:r>
        <w:rPr>
          <w:sz w:val="20"/>
          <w:szCs w:val="20"/>
        </w:rPr>
        <w:t xml:space="preserve">The network runs by repeatedly choosing a unit and resetting its state. </w:t>
      </w:r>
      <w:r w:rsidR="003B04DC">
        <w:rPr>
          <w:sz w:val="20"/>
          <w:szCs w:val="20"/>
        </w:rPr>
        <w:t xml:space="preserve">After running for long enough at a certain temperature, the probability of a global state of the network depends only upon that global state’s energy, according to a Boltzmann distribution, and not on the initial state from which the process was started. </w:t>
      </w:r>
      <w:r w:rsidR="00D7789C">
        <w:rPr>
          <w:sz w:val="20"/>
          <w:szCs w:val="20"/>
        </w:rPr>
        <w:t xml:space="preserve">This means that the log-probabilities of global states become linear in their energies. This relationship is true when the machine is “at thermal equilibrium”, meaning that the probability distribution of global states has converged. </w:t>
      </w:r>
      <w:r w:rsidR="00E41FBF">
        <w:rPr>
          <w:sz w:val="20"/>
          <w:szCs w:val="20"/>
        </w:rPr>
        <w:t xml:space="preserve">Running the network beginning from a high temperature, its temperature gradually decreases until reaching a thermal equilibrium at a lower temperature. </w:t>
      </w:r>
      <w:r w:rsidR="00AA76DB">
        <w:rPr>
          <w:sz w:val="20"/>
          <w:szCs w:val="20"/>
        </w:rPr>
        <w:t xml:space="preserve">It then may converge to a distribution where the energy level fluctuates around the global minimum. The process is known as </w:t>
      </w:r>
      <w:r w:rsidR="00AA76DB" w:rsidRPr="00AA76DB">
        <w:rPr>
          <w:i/>
          <w:iCs/>
          <w:sz w:val="20"/>
          <w:szCs w:val="20"/>
        </w:rPr>
        <w:t>Simulated Annealing</w:t>
      </w:r>
      <w:r w:rsidR="00AA76DB">
        <w:rPr>
          <w:sz w:val="20"/>
          <w:szCs w:val="20"/>
        </w:rPr>
        <w:t xml:space="preserve">. </w:t>
      </w:r>
    </w:p>
    <w:p w14:paraId="4DC3FF81" w14:textId="77777777" w:rsidR="00AA39B2" w:rsidRDefault="00AA39B2">
      <w:pPr>
        <w:rPr>
          <w:sz w:val="20"/>
          <w:szCs w:val="20"/>
        </w:rPr>
      </w:pPr>
    </w:p>
    <w:p w14:paraId="3ECA43F6" w14:textId="259DCAB1" w:rsidR="00AA39B2" w:rsidRDefault="00AA39B2">
      <w:pPr>
        <w:rPr>
          <w:sz w:val="20"/>
          <w:szCs w:val="20"/>
        </w:rPr>
      </w:pPr>
      <w:r>
        <w:rPr>
          <w:sz w:val="20"/>
          <w:szCs w:val="20"/>
        </w:rPr>
        <w:t xml:space="preserve">To train the network so that the chance it will converge to a global state according to an external distribution over these states, </w:t>
      </w:r>
      <w:r w:rsidR="00FB7EEC" w:rsidRPr="003C79CF">
        <w:rPr>
          <w:color w:val="3A7C22" w:themeColor="accent6" w:themeShade="BF"/>
          <w:sz w:val="20"/>
          <w:szCs w:val="20"/>
        </w:rPr>
        <w:t>the weighs must be set so that the global states with the highest probabilities get the lowest energies</w:t>
      </w:r>
      <w:r w:rsidR="00FB7EEC">
        <w:rPr>
          <w:sz w:val="20"/>
          <w:szCs w:val="20"/>
        </w:rPr>
        <w:t>. This is done by training.</w:t>
      </w:r>
    </w:p>
    <w:p w14:paraId="0A27B8F9" w14:textId="77777777" w:rsidR="00FB7EEC" w:rsidRDefault="00FB7EEC">
      <w:pPr>
        <w:rPr>
          <w:sz w:val="20"/>
          <w:szCs w:val="20"/>
        </w:rPr>
      </w:pPr>
    </w:p>
    <w:p w14:paraId="7F1CB73D" w14:textId="6699FA15" w:rsidR="00FB7EEC" w:rsidRPr="00FB7EEC" w:rsidRDefault="00FB7EEC">
      <w:pPr>
        <w:rPr>
          <w:b/>
          <w:bCs/>
          <w:sz w:val="20"/>
          <w:szCs w:val="20"/>
        </w:rPr>
      </w:pPr>
      <w:r w:rsidRPr="00FB7EEC">
        <w:rPr>
          <w:b/>
          <w:bCs/>
          <w:sz w:val="20"/>
          <w:szCs w:val="20"/>
        </w:rPr>
        <w:t>Training the Boltzman machine</w:t>
      </w:r>
    </w:p>
    <w:p w14:paraId="141A04EE" w14:textId="0674A1D8" w:rsidR="00FB7EEC" w:rsidRDefault="00FB7EEC">
      <w:pPr>
        <w:rPr>
          <w:rFonts w:eastAsiaTheme="minorEastAsia"/>
          <w:sz w:val="20"/>
          <w:szCs w:val="20"/>
        </w:rPr>
      </w:pPr>
      <w:r>
        <w:rPr>
          <w:sz w:val="20"/>
          <w:szCs w:val="20"/>
        </w:rPr>
        <w:t xml:space="preserve">The units in the Boltzmann machine are divided into ‘visible’ units, </w:t>
      </w:r>
      <m:oMath>
        <m:r>
          <w:rPr>
            <w:rFonts w:ascii="Cambria Math" w:hAnsi="Cambria Math"/>
            <w:sz w:val="20"/>
            <w:szCs w:val="20"/>
          </w:rPr>
          <m:t>V</m:t>
        </m:r>
      </m:oMath>
      <w:r>
        <w:rPr>
          <w:sz w:val="20"/>
          <w:szCs w:val="20"/>
        </w:rPr>
        <w:t xml:space="preserve">, and ‘hidden’ units, </w:t>
      </w:r>
      <m:oMath>
        <m:r>
          <w:rPr>
            <w:rFonts w:ascii="Cambria Math" w:hAnsi="Cambria Math"/>
            <w:sz w:val="20"/>
            <w:szCs w:val="20"/>
          </w:rPr>
          <m:t>H</m:t>
        </m:r>
      </m:oMath>
      <w:r>
        <w:rPr>
          <w:sz w:val="20"/>
          <w:szCs w:val="20"/>
        </w:rPr>
        <w:t>.</w:t>
      </w:r>
      <w:r w:rsidR="007A3028">
        <w:rPr>
          <w:sz w:val="20"/>
          <w:szCs w:val="20"/>
        </w:rPr>
        <w:t xml:space="preserve"> The visible units are those that receive information from the ‘environment’, i.e. the training set is a set of binary vectors over the set </w:t>
      </w:r>
      <m:oMath>
        <m:r>
          <w:rPr>
            <w:rFonts w:ascii="Cambria Math" w:hAnsi="Cambria Math"/>
            <w:sz w:val="20"/>
            <w:szCs w:val="20"/>
          </w:rPr>
          <m:t>V</m:t>
        </m:r>
      </m:oMath>
      <w:r w:rsidR="007A3028">
        <w:rPr>
          <w:sz w:val="20"/>
          <w:szCs w:val="20"/>
        </w:rPr>
        <w:t xml:space="preserve">. The distribution over the training set is denoted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sidR="007A3028">
        <w:rPr>
          <w:rFonts w:eastAsiaTheme="minorEastAsia"/>
          <w:sz w:val="20"/>
          <w:szCs w:val="20"/>
        </w:rPr>
        <w:t>.</w:t>
      </w:r>
    </w:p>
    <w:p w14:paraId="7820B917" w14:textId="77777777" w:rsidR="007A3028" w:rsidRDefault="007A3028">
      <w:pPr>
        <w:rPr>
          <w:sz w:val="20"/>
          <w:szCs w:val="20"/>
        </w:rPr>
      </w:pPr>
    </w:p>
    <w:p w14:paraId="00903435" w14:textId="644A6031" w:rsidR="007F2780" w:rsidRDefault="007A3028">
      <w:pPr>
        <w:rPr>
          <w:sz w:val="20"/>
          <w:szCs w:val="20"/>
        </w:rPr>
      </w:pPr>
      <w:r>
        <w:rPr>
          <w:sz w:val="20"/>
          <w:szCs w:val="20"/>
        </w:rPr>
        <w:t xml:space="preserve">The distribution over global states converges as the Boltzmann machine reaches thermal equilibrium. We marginalize this distribution over the hidden units and denote it with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Pr>
          <w:rFonts w:eastAsiaTheme="minorEastAsia"/>
          <w:sz w:val="20"/>
          <w:szCs w:val="20"/>
        </w:rPr>
        <w:t>.</w:t>
      </w:r>
    </w:p>
    <w:p w14:paraId="21A4D354" w14:textId="54B5E7F6" w:rsidR="007F2780" w:rsidRDefault="007A3028">
      <w:pPr>
        <w:rPr>
          <w:rFonts w:eastAsiaTheme="minorEastAsia"/>
          <w:sz w:val="20"/>
          <w:szCs w:val="20"/>
        </w:rPr>
      </w:pPr>
      <w:r>
        <w:rPr>
          <w:sz w:val="20"/>
          <w:szCs w:val="20"/>
        </w:rPr>
        <w:t xml:space="preserve">Our goal is to approximate the “real”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Pr>
          <w:rFonts w:eastAsiaTheme="minorEastAsia"/>
          <w:sz w:val="20"/>
          <w:szCs w:val="20"/>
        </w:rPr>
        <w:t xml:space="preserve"> using the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Pr>
          <w:rFonts w:eastAsiaTheme="minorEastAsia"/>
          <w:sz w:val="20"/>
          <w:szCs w:val="20"/>
        </w:rPr>
        <w:t xml:space="preserve"> produced by the machine.</w:t>
      </w:r>
      <w:r w:rsidR="003A0B53">
        <w:rPr>
          <w:rFonts w:eastAsiaTheme="minorEastAsia"/>
          <w:sz w:val="20"/>
          <w:szCs w:val="20"/>
        </w:rPr>
        <w:t xml:space="preserve"> The similarity of the two distributions is measured by the Kullback-Leibler divergence, </w:t>
      </w:r>
      <m:oMath>
        <m:r>
          <w:rPr>
            <w:rFonts w:ascii="Cambria Math" w:eastAsiaTheme="minorEastAsia" w:hAnsi="Cambria Math"/>
            <w:sz w:val="20"/>
            <w:szCs w:val="20"/>
          </w:rPr>
          <m:t>G</m:t>
        </m:r>
      </m:oMath>
      <w:r w:rsidR="003A0B53">
        <w:rPr>
          <w:rFonts w:eastAsiaTheme="minorEastAsia"/>
          <w:sz w:val="20"/>
          <w:szCs w:val="20"/>
        </w:rPr>
        <w:t>:</w:t>
      </w:r>
    </w:p>
    <w:p w14:paraId="0615CCA2" w14:textId="77777777" w:rsidR="003A0B53" w:rsidRDefault="003A0B53">
      <w:pPr>
        <w:rPr>
          <w:rFonts w:eastAsiaTheme="minorEastAsia"/>
          <w:sz w:val="20"/>
          <w:szCs w:val="20"/>
        </w:rPr>
      </w:pPr>
    </w:p>
    <w:p w14:paraId="09F84830" w14:textId="0E28A975" w:rsidR="003A0B53" w:rsidRDefault="003A0B53">
      <w:pPr>
        <w:rPr>
          <w:rFonts w:eastAsiaTheme="minorEastAsia"/>
          <w:sz w:val="20"/>
          <w:szCs w:val="20"/>
        </w:rPr>
      </w:pPr>
      <m:oMath>
        <m:r>
          <w:rPr>
            <w:rFonts w:ascii="Cambria Math" w:hAnsi="Cambria Math"/>
            <w:sz w:val="20"/>
            <w:szCs w:val="20"/>
          </w:rPr>
          <m:t>G</m:t>
        </m:r>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v</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ln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den>
                </m:f>
              </m:e>
            </m:d>
          </m:e>
        </m:nary>
      </m:oMath>
      <w:r>
        <w:rPr>
          <w:rFonts w:eastAsiaTheme="minorEastAsia"/>
          <w:sz w:val="20"/>
          <w:szCs w:val="20"/>
        </w:rPr>
        <w:t xml:space="preserve"> </w:t>
      </w:r>
    </w:p>
    <w:p w14:paraId="2CDDC0A2" w14:textId="77777777" w:rsidR="003A0B53" w:rsidRDefault="003A0B53">
      <w:pPr>
        <w:rPr>
          <w:rFonts w:eastAsiaTheme="minorEastAsia"/>
          <w:sz w:val="20"/>
          <w:szCs w:val="20"/>
        </w:rPr>
      </w:pPr>
    </w:p>
    <w:p w14:paraId="267CEECF" w14:textId="2C12C70D" w:rsidR="003A0B53" w:rsidRDefault="003A0B53">
      <w:pPr>
        <w:rPr>
          <w:sz w:val="20"/>
          <w:szCs w:val="20"/>
        </w:rPr>
      </w:pPr>
      <w:r>
        <w:rPr>
          <w:rFonts w:eastAsiaTheme="minorEastAsia"/>
          <w:sz w:val="20"/>
          <w:szCs w:val="20"/>
        </w:rPr>
        <w:lastRenderedPageBreak/>
        <w:t xml:space="preserve">where the sum is over all possible states of </w:t>
      </w:r>
      <m:oMath>
        <m:r>
          <w:rPr>
            <w:rFonts w:ascii="Cambria Math" w:eastAsiaTheme="minorEastAsia" w:hAnsi="Cambria Math"/>
            <w:sz w:val="20"/>
            <w:szCs w:val="20"/>
          </w:rPr>
          <m:t>V</m:t>
        </m:r>
      </m:oMath>
      <w:r>
        <w:rPr>
          <w:rFonts w:eastAsiaTheme="minorEastAsia"/>
          <w:sz w:val="20"/>
          <w:szCs w:val="20"/>
        </w:rPr>
        <w:t xml:space="preserve">. </w:t>
      </w:r>
      <m:oMath>
        <m:r>
          <w:rPr>
            <w:rFonts w:ascii="Cambria Math" w:eastAsiaTheme="minorEastAsia" w:hAnsi="Cambria Math"/>
            <w:sz w:val="20"/>
            <w:szCs w:val="20"/>
          </w:rPr>
          <m:t>G</m:t>
        </m:r>
      </m:oMath>
      <w:r w:rsidR="003C79CF">
        <w:rPr>
          <w:rFonts w:eastAsiaTheme="minorEastAsia"/>
          <w:sz w:val="20"/>
          <w:szCs w:val="20"/>
        </w:rPr>
        <w:t xml:space="preserve"> is a function of the weights</w:t>
      </w:r>
      <w:r w:rsidR="00AD3A75">
        <w:rPr>
          <w:rFonts w:eastAsiaTheme="minorEastAsia"/>
          <w:sz w:val="20"/>
          <w:szCs w:val="20"/>
        </w:rPr>
        <w:t xml:space="preserve">, since they determine the energy of a state, and the energy determines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oMath>
      <w:r w:rsidR="00AD3A75">
        <w:rPr>
          <w:rFonts w:eastAsiaTheme="minorEastAsia"/>
          <w:sz w:val="20"/>
          <w:szCs w:val="20"/>
        </w:rPr>
        <w:t xml:space="preserve">, as promised by the Boltzmann distribution. A gradient descent algorithm over </w:t>
      </w:r>
      <m:oMath>
        <m:r>
          <w:rPr>
            <w:rFonts w:ascii="Cambria Math" w:eastAsiaTheme="minorEastAsia" w:hAnsi="Cambria Math"/>
            <w:sz w:val="20"/>
            <w:szCs w:val="20"/>
          </w:rPr>
          <m:t>G</m:t>
        </m:r>
      </m:oMath>
      <w:r w:rsidR="00AD3A75">
        <w:rPr>
          <w:rFonts w:eastAsiaTheme="minorEastAsia"/>
          <w:sz w:val="20"/>
          <w:szCs w:val="20"/>
        </w:rPr>
        <w:t xml:space="preserve"> changes a given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sidR="00AD3A75">
        <w:rPr>
          <w:rFonts w:eastAsiaTheme="minorEastAsia"/>
          <w:sz w:val="20"/>
          <w:szCs w:val="20"/>
        </w:rPr>
        <w:t xml:space="preserve">, by subtracting the partial derivative of </w:t>
      </w:r>
      <m:oMath>
        <m:r>
          <w:rPr>
            <w:rFonts w:ascii="Cambria Math" w:eastAsiaTheme="minorEastAsia" w:hAnsi="Cambria Math"/>
            <w:sz w:val="20"/>
            <w:szCs w:val="20"/>
          </w:rPr>
          <m:t>G</m:t>
        </m:r>
      </m:oMath>
      <w:r w:rsidR="00AD3A75">
        <w:rPr>
          <w:rFonts w:eastAsiaTheme="minorEastAsia"/>
          <w:sz w:val="20"/>
          <w:szCs w:val="20"/>
        </w:rPr>
        <w:t xml:space="preserve"> with respect to the weight. </w:t>
      </w:r>
    </w:p>
    <w:p w14:paraId="54D33B29" w14:textId="77777777" w:rsidR="00701DF2" w:rsidRDefault="00701DF2">
      <w:pPr>
        <w:rPr>
          <w:sz w:val="20"/>
          <w:szCs w:val="20"/>
        </w:rPr>
      </w:pPr>
    </w:p>
    <w:p w14:paraId="66EDA53A" w14:textId="380E6766" w:rsidR="00AD3A75" w:rsidRDefault="00AD3A75">
      <w:pPr>
        <w:rPr>
          <w:sz w:val="20"/>
          <w:szCs w:val="20"/>
        </w:rPr>
      </w:pPr>
      <w:r>
        <w:rPr>
          <w:sz w:val="20"/>
          <w:szCs w:val="20"/>
        </w:rPr>
        <w:t xml:space="preserve">Boltzman machine training involves two alternating phases. One is the “positive” phase where the visible units’ states are clamped to a particular binary state vector sampled from the training set (according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oMath>
      <w:r>
        <w:rPr>
          <w:sz w:val="20"/>
          <w:szCs w:val="20"/>
        </w:rPr>
        <w:t>).</w:t>
      </w:r>
      <w:r w:rsidR="009A0F3D">
        <w:rPr>
          <w:sz w:val="20"/>
          <w:szCs w:val="20"/>
        </w:rPr>
        <w:t xml:space="preserve"> The other is the “negative” phase where the network is allowed to run freely, i.e. only the input nodes have their state determined by external data, but the output nodes are allowed to float. </w:t>
      </w:r>
    </w:p>
    <w:p w14:paraId="10E432F7" w14:textId="77777777" w:rsidR="00AD3A75" w:rsidRDefault="00AD3A75">
      <w:pPr>
        <w:rPr>
          <w:sz w:val="20"/>
          <w:szCs w:val="20"/>
        </w:rPr>
      </w:pPr>
    </w:p>
    <w:p w14:paraId="6352E4BC" w14:textId="77777777" w:rsidR="00594A74" w:rsidRPr="00594A74" w:rsidRDefault="00594A74" w:rsidP="00594A74">
      <w:pPr>
        <w:pStyle w:val="Heading3"/>
        <w:spacing w:before="0" w:after="0"/>
        <w:rPr>
          <w:sz w:val="24"/>
          <w:szCs w:val="24"/>
        </w:rPr>
      </w:pPr>
      <w:r w:rsidRPr="00594A74">
        <w:rPr>
          <w:sz w:val="24"/>
          <w:szCs w:val="24"/>
        </w:rPr>
        <w:t>Restricted Boltzman Machines</w:t>
      </w:r>
    </w:p>
    <w:p w14:paraId="5D5F9EB1" w14:textId="77777777" w:rsidR="00594A74" w:rsidRDefault="00594A74">
      <w:pPr>
        <w:rPr>
          <w:sz w:val="20"/>
          <w:szCs w:val="20"/>
        </w:rPr>
      </w:pPr>
    </w:p>
    <w:sectPr w:rsidR="0059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4A"/>
    <w:rsid w:val="00066B4D"/>
    <w:rsid w:val="001A0797"/>
    <w:rsid w:val="001E22D7"/>
    <w:rsid w:val="001F7333"/>
    <w:rsid w:val="00375C0A"/>
    <w:rsid w:val="003A0B53"/>
    <w:rsid w:val="003B04DC"/>
    <w:rsid w:val="003C79CF"/>
    <w:rsid w:val="00503FD8"/>
    <w:rsid w:val="005320F2"/>
    <w:rsid w:val="00594A74"/>
    <w:rsid w:val="00701DF2"/>
    <w:rsid w:val="007A3028"/>
    <w:rsid w:val="007F2780"/>
    <w:rsid w:val="00830E92"/>
    <w:rsid w:val="0087724A"/>
    <w:rsid w:val="009A0F3D"/>
    <w:rsid w:val="00AA39B2"/>
    <w:rsid w:val="00AA76DB"/>
    <w:rsid w:val="00AD3A75"/>
    <w:rsid w:val="00D7789C"/>
    <w:rsid w:val="00E41FBF"/>
    <w:rsid w:val="00FB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07848"/>
  <w15:chartTrackingRefBased/>
  <w15:docId w15:val="{D8806CFD-7F11-394A-A620-B5304405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7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2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2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2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2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7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7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24A"/>
    <w:rPr>
      <w:rFonts w:eastAsiaTheme="majorEastAsia" w:cstheme="majorBidi"/>
      <w:color w:val="272727" w:themeColor="text1" w:themeTint="D8"/>
    </w:rPr>
  </w:style>
  <w:style w:type="paragraph" w:styleId="Title">
    <w:name w:val="Title"/>
    <w:basedOn w:val="Normal"/>
    <w:next w:val="Normal"/>
    <w:link w:val="TitleChar"/>
    <w:uiPriority w:val="10"/>
    <w:qFormat/>
    <w:rsid w:val="008772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2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2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724A"/>
    <w:rPr>
      <w:i/>
      <w:iCs/>
      <w:color w:val="404040" w:themeColor="text1" w:themeTint="BF"/>
    </w:rPr>
  </w:style>
  <w:style w:type="paragraph" w:styleId="ListParagraph">
    <w:name w:val="List Paragraph"/>
    <w:basedOn w:val="Normal"/>
    <w:uiPriority w:val="34"/>
    <w:qFormat/>
    <w:rsid w:val="0087724A"/>
    <w:pPr>
      <w:ind w:left="720"/>
      <w:contextualSpacing/>
    </w:pPr>
  </w:style>
  <w:style w:type="character" w:styleId="IntenseEmphasis">
    <w:name w:val="Intense Emphasis"/>
    <w:basedOn w:val="DefaultParagraphFont"/>
    <w:uiPriority w:val="21"/>
    <w:qFormat/>
    <w:rsid w:val="0087724A"/>
    <w:rPr>
      <w:i/>
      <w:iCs/>
      <w:color w:val="0F4761" w:themeColor="accent1" w:themeShade="BF"/>
    </w:rPr>
  </w:style>
  <w:style w:type="paragraph" w:styleId="IntenseQuote">
    <w:name w:val="Intense Quote"/>
    <w:basedOn w:val="Normal"/>
    <w:next w:val="Normal"/>
    <w:link w:val="IntenseQuoteChar"/>
    <w:uiPriority w:val="30"/>
    <w:qFormat/>
    <w:rsid w:val="00877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24A"/>
    <w:rPr>
      <w:i/>
      <w:iCs/>
      <w:color w:val="0F4761" w:themeColor="accent1" w:themeShade="BF"/>
    </w:rPr>
  </w:style>
  <w:style w:type="character" w:styleId="IntenseReference">
    <w:name w:val="Intense Reference"/>
    <w:basedOn w:val="DefaultParagraphFont"/>
    <w:uiPriority w:val="32"/>
    <w:qFormat/>
    <w:rsid w:val="0087724A"/>
    <w:rPr>
      <w:b/>
      <w:bCs/>
      <w:smallCaps/>
      <w:color w:val="0F4761" w:themeColor="accent1" w:themeShade="BF"/>
      <w:spacing w:val="5"/>
    </w:rPr>
  </w:style>
  <w:style w:type="character" w:styleId="Hyperlink">
    <w:name w:val="Hyperlink"/>
    <w:basedOn w:val="DefaultParagraphFont"/>
    <w:uiPriority w:val="99"/>
    <w:unhideWhenUsed/>
    <w:rsid w:val="00594A74"/>
    <w:rPr>
      <w:color w:val="0000FF"/>
      <w:u w:val="single"/>
    </w:rPr>
  </w:style>
  <w:style w:type="character" w:styleId="PlaceholderText">
    <w:name w:val="Placeholder Text"/>
    <w:basedOn w:val="DefaultParagraphFont"/>
    <w:uiPriority w:val="99"/>
    <w:semiHidden/>
    <w:rsid w:val="00701DF2"/>
    <w:rPr>
      <w:color w:val="666666"/>
    </w:rPr>
  </w:style>
  <w:style w:type="character" w:styleId="UnresolvedMention">
    <w:name w:val="Unresolved Mention"/>
    <w:basedOn w:val="DefaultParagraphFont"/>
    <w:uiPriority w:val="99"/>
    <w:semiHidden/>
    <w:unhideWhenUsed/>
    <w:rsid w:val="001F7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Restricted_Boltzmann_mach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oltzmann_machine" TargetMode="External"/><Relationship Id="rId5" Type="http://schemas.openxmlformats.org/officeDocument/2006/relationships/hyperlink" Target="https://en.wikipedia.org/wiki/Simulated_annealing" TargetMode="External"/><Relationship Id="rId10" Type="http://schemas.openxmlformats.org/officeDocument/2006/relationships/theme" Target="theme/theme1.xml"/><Relationship Id="rId4"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2024-05-19T00:42:00Z</dcterms:created>
  <dcterms:modified xsi:type="dcterms:W3CDTF">2024-05-19T16:30:00Z</dcterms:modified>
</cp:coreProperties>
</file>