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35508" w14:textId="21F9C31C" w:rsidR="0053777D" w:rsidRDefault="007726EC" w:rsidP="00637248">
      <w:pPr>
        <w:pStyle w:val="Title"/>
      </w:pPr>
      <w:r>
        <w:t>Note on Manifold-Constrained Hyper Connection</w:t>
      </w:r>
      <w:r w:rsidR="004E0F3E">
        <w:t>s</w:t>
      </w:r>
      <w:r>
        <w:t xml:space="preserve"> and Muon</w:t>
      </w:r>
    </w:p>
    <w:p w14:paraId="28A3C14C" w14:textId="091BB1BB" w:rsidR="007726EC" w:rsidRDefault="007726EC">
      <w:r>
        <w:t>by Bhairav</w:t>
      </w:r>
      <w:r w:rsidR="001521DE">
        <w:t xml:space="preserve"> | Charles H. Martin</w:t>
      </w:r>
      <w:r>
        <w:t>, Linkedin 1/9/2026</w:t>
      </w:r>
    </w:p>
    <w:p w14:paraId="5F2DB0FA" w14:textId="77777777" w:rsidR="007726EC" w:rsidRDefault="007726EC"/>
    <w:p w14:paraId="799CE7C1" w14:textId="73BC4A10" w:rsidR="00637248" w:rsidRDefault="00637248">
      <w:r w:rsidRPr="00A14AB7">
        <w:rPr>
          <w:b/>
          <w:bCs/>
          <w:i/>
          <w:iCs/>
        </w:rPr>
        <w:t>Bhairav wrote</w:t>
      </w:r>
      <w:r>
        <w:t>:</w:t>
      </w:r>
    </w:p>
    <w:p w14:paraId="5178053B" w14:textId="77777777" w:rsidR="00637248" w:rsidRDefault="00637248"/>
    <w:p w14:paraId="5FF1672A" w14:textId="486DA35C" w:rsidR="007726EC" w:rsidRDefault="007726EC" w:rsidP="007726EC">
      <w:r>
        <w:t>Lots of chatter about Manifold-Constrained Hyper-Connections (</w:t>
      </w:r>
      <m:oMath>
        <m:r>
          <w:rPr>
            <w:rFonts w:ascii="Cambria Math" w:hAnsi="Cambria Math"/>
          </w:rPr>
          <m:t>m</m:t>
        </m:r>
      </m:oMath>
      <w:r>
        <w:t>HC). My 2 cents:</w:t>
      </w:r>
    </w:p>
    <w:p w14:paraId="4B0FAD2B" w14:textId="77777777" w:rsidR="007726EC" w:rsidRDefault="007726EC" w:rsidP="007726EC"/>
    <w:p w14:paraId="33732E94" w14:textId="570690EC" w:rsidR="007726EC" w:rsidRDefault="007726EC" w:rsidP="007726EC">
      <w:r>
        <w:t xml:space="preserve">At a high level, </w:t>
      </w:r>
      <m:oMath>
        <m:r>
          <w:rPr>
            <w:rFonts w:ascii="Cambria Math" w:hAnsi="Cambria Math"/>
          </w:rPr>
          <m:t>m</m:t>
        </m:r>
      </m:oMath>
      <w:r>
        <w:t xml:space="preserve">HC treats hyper-connections not as generic weight matrices, but as routing operators living on a constrained manifold (e.g. stochastic or doubly-stochastic). </w:t>
      </w:r>
    </w:p>
    <w:p w14:paraId="64CEA314" w14:textId="77777777" w:rsidR="007726EC" w:rsidRDefault="007726EC" w:rsidP="007726EC"/>
    <w:p w14:paraId="665322C3" w14:textId="77777777" w:rsidR="007726EC" w:rsidRDefault="007726EC" w:rsidP="007726EC">
      <w:r>
        <w:t>This is related to Muon, which constrains weight updates to a Stiefel manifold (i.e. orthogonality), enforcing rotational symmetry and bounding the spectral norm. Muon’s manifold constraint stabilizes dynamics by effectively fixing the RG gauge, removing redundant directions in SGD-momentum updates. This allows a more direct flow toward the SETOL RG fixed surface (albeit still slowly due to critical slowing down)</w:t>
      </w:r>
    </w:p>
    <w:p w14:paraId="1E696D48" w14:textId="77777777" w:rsidR="007726EC" w:rsidRDefault="007726EC" w:rsidP="007726EC"/>
    <w:p w14:paraId="4D921FD9" w14:textId="1E81002C" w:rsidR="007726EC" w:rsidRDefault="007726EC" w:rsidP="007726EC">
      <w:r>
        <w:t xml:space="preserve">Viewed through the same theoretical lens, </w:t>
      </w:r>
      <m:oMath>
        <m:r>
          <w:rPr>
            <w:rFonts w:ascii="Cambria Math" w:hAnsi="Cambria Math"/>
          </w:rPr>
          <m:t>m</m:t>
        </m:r>
      </m:oMath>
      <w:r>
        <w:t xml:space="preserve">HC instead induces a dissipative RG-like flow, where the effective dynamics live on the Liouvillian generator of a Markov semigroup. In this sense, </w:t>
      </w:r>
      <m:oMath>
        <m:r>
          <w:rPr>
            <w:rFonts w:ascii="Cambria Math" w:hAnsi="Cambria Math"/>
          </w:rPr>
          <m:t>m</m:t>
        </m:r>
      </m:oMath>
      <w:r>
        <w:t>HC is naturally interpreted as a Mori–Zwanzig projection with a Markovian closure.</w:t>
      </w:r>
    </w:p>
    <w:p w14:paraId="79DCA69D" w14:textId="77777777" w:rsidR="007726EC" w:rsidRDefault="007726EC" w:rsidP="007726EC"/>
    <w:p w14:paraId="20F0CC9F" w14:textId="01601EF4" w:rsidR="007726EC" w:rsidRDefault="007726EC" w:rsidP="007726EC">
      <w:r>
        <w:t xml:space="preserve">Crucially, </w:t>
      </w:r>
      <m:oMath>
        <m:r>
          <w:rPr>
            <w:rFonts w:ascii="Cambria Math" w:hAnsi="Cambria Math"/>
          </w:rPr>
          <m:t>m</m:t>
        </m:r>
      </m:oMath>
      <w:r>
        <w:t>H</w:t>
      </w:r>
      <w:r w:rsidR="00637248">
        <w:t>C</w:t>
      </w:r>
      <w:r>
        <w:t>, a layer–layer (inter-layer) method, is distinct from the layer-wise (intra-layer) Muon. Muon implements RG gauge fixing on the training dynamics, whereas mHC imposes RG field constraints that alter the flow itself, placing learning in a different, dissipative RG universality class.</w:t>
      </w:r>
    </w:p>
    <w:p w14:paraId="50E6C5B4" w14:textId="77777777" w:rsidR="007726EC" w:rsidRDefault="007726EC" w:rsidP="007726EC"/>
    <w:p w14:paraId="343C8C13" w14:textId="403B7158" w:rsidR="007726EC" w:rsidRDefault="007726EC" w:rsidP="007726EC">
      <w:r>
        <w:t>Finally, I can offer a prediction from these observations. Because RG dynamics exhibit a critical slowing down as the system approaches its fixed point, I predict that to obtain the best performing LLMs, engineers should implement some form of RG fixed point acceleration in the later stages of training.</w:t>
      </w:r>
    </w:p>
    <w:p w14:paraId="6BE4A696" w14:textId="77777777" w:rsidR="007726EC" w:rsidRDefault="007726EC"/>
    <w:p w14:paraId="7B700377" w14:textId="69C54CEE" w:rsidR="00637248" w:rsidRDefault="00637248">
      <w:r w:rsidRPr="00A14AB7">
        <w:rPr>
          <w:b/>
          <w:bCs/>
          <w:i/>
          <w:iCs/>
        </w:rPr>
        <w:t>Mitch Haile replied</w:t>
      </w:r>
      <w:r>
        <w:t>:</w:t>
      </w:r>
    </w:p>
    <w:p w14:paraId="06F3C0E3" w14:textId="77777777" w:rsidR="00637248" w:rsidRDefault="00637248"/>
    <w:p w14:paraId="03171780" w14:textId="77777777" w:rsidR="00637248" w:rsidRDefault="00637248">
      <w:pPr>
        <w:rPr>
          <w:noProof/>
        </w:rPr>
      </w:pPr>
      <w:r w:rsidRPr="00637248">
        <w:t>Your 2 cents, or someone else's?</w:t>
      </w:r>
      <w:r w:rsidRPr="00637248">
        <w:rPr>
          <w:noProof/>
        </w:rPr>
        <w:t xml:space="preserve"> </w:t>
      </w:r>
    </w:p>
    <w:p w14:paraId="52ED18A2" w14:textId="77777777" w:rsidR="00637248" w:rsidRDefault="00637248">
      <w:pPr>
        <w:rPr>
          <w:noProof/>
        </w:rPr>
      </w:pPr>
    </w:p>
    <w:p w14:paraId="1E4E36D8" w14:textId="27ED3A94" w:rsidR="00637248" w:rsidRDefault="00637248">
      <w:r>
        <w:rPr>
          <w:noProof/>
        </w:rPr>
        <w:lastRenderedPageBreak/>
        <w:drawing>
          <wp:inline distT="0" distB="0" distL="0" distR="0" wp14:anchorId="6FEDF6B4" wp14:editId="4B406588">
            <wp:extent cx="5049848" cy="3272150"/>
            <wp:effectExtent l="0" t="0" r="5080" b="5080"/>
            <wp:docPr id="1358703072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703072" name="Picture 1" descr="A diagram of a diagram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098" cy="327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4CF32" w14:textId="172018D9" w:rsidR="00A56B1E" w:rsidRDefault="00A56B1E"/>
    <w:p w14:paraId="1724A9E7" w14:textId="77777777" w:rsidR="007726EC" w:rsidRDefault="007726EC"/>
    <w:p w14:paraId="3D3001A2" w14:textId="7496CAB2" w:rsidR="007726EC" w:rsidRDefault="007726EC">
      <w:r>
        <w:t>References</w:t>
      </w:r>
    </w:p>
    <w:p w14:paraId="113BB1D6" w14:textId="5647FF22" w:rsidR="007726EC" w:rsidRDefault="007726EC">
      <w:r>
        <w:t xml:space="preserve">[1] </w:t>
      </w:r>
      <w:hyperlink r:id="rId5" w:history="1">
        <w:r w:rsidRPr="007726EC">
          <w:rPr>
            <w:rStyle w:val="Hyperlink"/>
          </w:rPr>
          <w:t>Linkedin post by Bhairav, 1/9/2026</w:t>
        </w:r>
      </w:hyperlink>
    </w:p>
    <w:p w14:paraId="56FDA855" w14:textId="6AEBF65B" w:rsidR="00637248" w:rsidRDefault="00637248">
      <w:r>
        <w:t>[2]</w:t>
      </w:r>
      <w:r w:rsidR="00A14AB7">
        <w:t xml:space="preserve"> </w:t>
      </w:r>
      <w:hyperlink r:id="rId6" w:history="1">
        <w:r w:rsidR="00A14AB7" w:rsidRPr="009F2677">
          <w:rPr>
            <w:rStyle w:val="Hyperlink"/>
          </w:rPr>
          <w:t>Muon: An optimizer for hidden layers in neural networks</w:t>
        </w:r>
        <w:r w:rsidR="00A14AB7" w:rsidRPr="009F2677">
          <w:rPr>
            <w:rStyle w:val="Hyperlink"/>
          </w:rPr>
          <w:t xml:space="preserve">, </w:t>
        </w:r>
        <w:r w:rsidR="009F2677" w:rsidRPr="009F2677">
          <w:rPr>
            <w:rStyle w:val="Hyperlink"/>
          </w:rPr>
          <w:t>December 8, 2024, Keller Jordan blog</w:t>
        </w:r>
      </w:hyperlink>
    </w:p>
    <w:p w14:paraId="0E15C744" w14:textId="20D3148A" w:rsidR="00637248" w:rsidRDefault="00637248">
      <w:r>
        <w:t>[3]</w:t>
      </w:r>
      <w:r w:rsidR="004C37D9">
        <w:t xml:space="preserve"> </w:t>
      </w:r>
      <w:hyperlink r:id="rId7" w:history="1">
        <w:r w:rsidR="004C37D9" w:rsidRPr="004C37D9">
          <w:rPr>
            <w:rStyle w:val="Hyperlink"/>
          </w:rPr>
          <w:t>Muon is scalable for LLM Training, J. Liu et al, 2025</w:t>
        </w:r>
      </w:hyperlink>
      <w:r w:rsidR="009F2677">
        <w:t xml:space="preserve"> </w:t>
      </w:r>
    </w:p>
    <w:p w14:paraId="7B2BA86B" w14:textId="3FFD2770" w:rsidR="004C37D9" w:rsidRDefault="004C37D9">
      <w:r>
        <w:t xml:space="preserve">[4] </w:t>
      </w:r>
      <w:hyperlink r:id="rId8" w:history="1">
        <m:oMath>
          <m:r>
            <w:rPr>
              <w:rStyle w:val="Hyperlink"/>
              <w:rFonts w:ascii="Cambria Math" w:hAnsi="Cambria Math"/>
            </w:rPr>
            <m:t>m</m:t>
          </m:r>
        </m:oMath>
        <w:r w:rsidRPr="004C37D9">
          <w:rPr>
            <w:rStyle w:val="Hyperlink"/>
          </w:rPr>
          <w:t>HC: Manifold-Constrained Hyper Connections, Z. Xie et al, DeepSeek AI, 2026</w:t>
        </w:r>
      </w:hyperlink>
    </w:p>
    <w:p w14:paraId="4C2CE75C" w14:textId="0A3E0293" w:rsidR="007726EC" w:rsidRDefault="007726EC">
      <w:r>
        <w:t>[</w:t>
      </w:r>
      <w:r w:rsidR="004C37D9">
        <w:t>5</w:t>
      </w:r>
      <w:r>
        <w:t xml:space="preserve">] </w:t>
      </w:r>
      <w:hyperlink r:id="rId9" w:history="1">
        <w:r w:rsidRPr="004C37D9">
          <w:rPr>
            <w:rStyle w:val="Hyperlink"/>
          </w:rPr>
          <w:t>SETOL</w:t>
        </w:r>
        <w:r w:rsidR="004C37D9" w:rsidRPr="004C37D9">
          <w:rPr>
            <w:rStyle w:val="Hyperlink"/>
          </w:rPr>
          <w:t>: A Semi-Empirical Theory of Deep Learning, Charles H. Martin et al, 2025</w:t>
        </w:r>
      </w:hyperlink>
    </w:p>
    <w:p w14:paraId="3BD0638B" w14:textId="66CEB894" w:rsidR="004C37D9" w:rsidRDefault="004C37D9">
      <w:r>
        <w:t xml:space="preserve">[6] </w:t>
      </w:r>
      <w:hyperlink r:id="rId10" w:history="1">
        <w:r w:rsidRPr="004C37D9">
          <w:rPr>
            <w:rStyle w:val="Hyperlink"/>
          </w:rPr>
          <w:t>Introduction to Renormalization, Joao Melo, U of Cambridge, 2019</w:t>
        </w:r>
      </w:hyperlink>
    </w:p>
    <w:p w14:paraId="4BD103A8" w14:textId="68CC3527" w:rsidR="004C37D9" w:rsidRDefault="004C37D9">
      <w:r>
        <w:t xml:space="preserve">[7] </w:t>
      </w:r>
      <w:hyperlink r:id="rId11" w:history="1">
        <w:r w:rsidR="004E0F3E" w:rsidRPr="004E0F3E">
          <w:rPr>
            <w:rStyle w:val="Hyperlink"/>
          </w:rPr>
          <w:t>Introduction to Renormalization Group Method, Roland Bauerschmidt, David C. Brydges, and Gordon Slade, 2019</w:t>
        </w:r>
      </w:hyperlink>
    </w:p>
    <w:p w14:paraId="3833D801" w14:textId="1CFD7898" w:rsidR="004E0F3E" w:rsidRDefault="004E0F3E">
      <w:r>
        <w:t xml:space="preserve">[8] </w:t>
      </w:r>
      <w:hyperlink r:id="rId12" w:history="1">
        <w:r w:rsidRPr="004E0F3E">
          <w:rPr>
            <w:rStyle w:val="Hyperlink"/>
          </w:rPr>
          <w:t xml:space="preserve">Why does deep and cheap learning work so well? Henry W. Lin, Max Tegmark, David Rolnick, </w:t>
        </w:r>
        <w:r w:rsidR="00C500CA">
          <w:rPr>
            <w:rStyle w:val="Hyperlink"/>
          </w:rPr>
          <w:t xml:space="preserve">(accepted) </w:t>
        </w:r>
        <w:r w:rsidRPr="004E0F3E">
          <w:rPr>
            <w:rStyle w:val="Hyperlink"/>
          </w:rPr>
          <w:t>2017</w:t>
        </w:r>
      </w:hyperlink>
    </w:p>
    <w:p w14:paraId="5C80DA65" w14:textId="61B2247E" w:rsidR="004E0F3E" w:rsidRDefault="004E0F3E">
      <w:r>
        <w:t xml:space="preserve">[9] </w:t>
      </w:r>
      <w:hyperlink r:id="rId13" w:history="1">
        <w:r w:rsidR="00C500CA" w:rsidRPr="00C500CA">
          <w:rPr>
            <w:rStyle w:val="Hyperlink"/>
          </w:rPr>
          <w:t>Comment on “Why does deep and cheap learning work so well?”, David Schwab, Pankaj Mehta, 2016</w:t>
        </w:r>
      </w:hyperlink>
    </w:p>
    <w:p w14:paraId="4FD10D58" w14:textId="77777777" w:rsidR="004E0F3E" w:rsidRDefault="004E0F3E"/>
    <w:p w14:paraId="57700A84" w14:textId="77777777" w:rsidR="007726EC" w:rsidRDefault="007726EC"/>
    <w:sectPr w:rsidR="007726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6EC"/>
    <w:rsid w:val="000C2E71"/>
    <w:rsid w:val="001521DE"/>
    <w:rsid w:val="0028631B"/>
    <w:rsid w:val="004C37D9"/>
    <w:rsid w:val="004E0F3E"/>
    <w:rsid w:val="0053777D"/>
    <w:rsid w:val="00637248"/>
    <w:rsid w:val="006C7830"/>
    <w:rsid w:val="0076273D"/>
    <w:rsid w:val="007726EC"/>
    <w:rsid w:val="009E4EFF"/>
    <w:rsid w:val="009F2677"/>
    <w:rsid w:val="00A14AB7"/>
    <w:rsid w:val="00A56B1E"/>
    <w:rsid w:val="00AD2000"/>
    <w:rsid w:val="00C500CA"/>
    <w:rsid w:val="00FC5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77331C"/>
  <w15:chartTrackingRefBased/>
  <w15:docId w15:val="{123DE706-1153-F043-8B9E-2BDDCBD2F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26EC"/>
    <w:pPr>
      <w:spacing w:after="0"/>
    </w:pPr>
    <w:rPr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26EC"/>
    <w:pPr>
      <w:keepNext/>
      <w:keepLines/>
      <w:outlineLvl w:val="0"/>
    </w:pPr>
    <w:rPr>
      <w:rFonts w:asciiTheme="majorHAnsi" w:eastAsiaTheme="majorEastAsia" w:hAnsiTheme="majorHAnsi" w:cstheme="majorBidi"/>
      <w:color w:val="0F4761" w:themeColor="accent1" w:themeShade="BF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6EC"/>
    <w:pPr>
      <w:keepNext/>
      <w:keepLines/>
      <w:outlineLvl w:val="1"/>
    </w:pPr>
    <w:rPr>
      <w:rFonts w:asciiTheme="majorHAnsi" w:eastAsiaTheme="majorEastAsia" w:hAnsiTheme="majorHAnsi" w:cstheme="majorBidi"/>
      <w:color w:val="0F4761" w:themeColor="accent1" w:themeShade="BF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6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6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6E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6E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6E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6E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6EC"/>
    <w:rPr>
      <w:rFonts w:asciiTheme="majorHAnsi" w:eastAsiaTheme="majorEastAsia" w:hAnsiTheme="majorHAnsi" w:cstheme="majorBidi"/>
      <w:color w:val="0F4761" w:themeColor="accent1" w:themeShade="BF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6EC"/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6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6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6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6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6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6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6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6EC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6EC"/>
    <w:rPr>
      <w:rFonts w:asciiTheme="majorHAnsi" w:eastAsiaTheme="majorEastAsia" w:hAnsiTheme="majorHAnsi" w:cstheme="majorBidi"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6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6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6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6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6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6E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26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26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imitarpg13/geometric_deep_learning/blob/main/articles/HC/mHC-Manifold-Constrained_Hyper-Connections_DeepSeekAI_2026.pdf" TargetMode="External"/><Relationship Id="rId13" Type="http://schemas.openxmlformats.org/officeDocument/2006/relationships/hyperlink" Target="https://github.com/dimitarpg13/geometric_deep_learning/blob/main/articles/RG/Comment_on_Why_does_deep_and_cheap_learning_work_so_well_Schwab_Mehta_2016.pdf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dimitarpg13/geometric_deep_learning/blob/main/articles/Muon/Muon_is_Scalable_for_LLM_Training_Liu_2025.pdf" TargetMode="External"/><Relationship Id="rId12" Type="http://schemas.openxmlformats.org/officeDocument/2006/relationships/hyperlink" Target="https://github.com/dimitarpg13/geometric_deep_learning/blob/main/articles/RG/Why_does_deep_and_cheap_learning_work_so_well_Liu_2017.pdf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kellerjordan.github.io/posts/muon/" TargetMode="External"/><Relationship Id="rId11" Type="http://schemas.openxmlformats.org/officeDocument/2006/relationships/hyperlink" Target="https://github.com/dimitarpg13/geometric_deep_learning/blob/main/articles/RG/bauerschmidt_brydges_slade_book.pdf" TargetMode="External"/><Relationship Id="rId5" Type="http://schemas.openxmlformats.org/officeDocument/2006/relationships/hyperlink" Target="https://www.linkedin.com/posts/activity-7414168428976111617-38B8?utm_source=share&amp;utm_medium=member_desktop&amp;rcm=ACoAAAFZfUoBgPoGUucdnvtwuzPv79P8VHj6uvk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github.com/dimitarpg13/geometric_deep_learning/blob/main/articles/RG/Introduction_to_Renormalisation_Melo_2019.pdf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github.com/dimitarpg13/geometric_deep_learning/blob/main/articles/SETOL/SETOL-A_Semi-Empirical_Theory_of_Deep_Learning_Martin_2025.pdf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563</Words>
  <Characters>3214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Dimitar Gueorguiev</dc:creator>
  <cp:keywords/>
  <dc:description/>
  <cp:lastModifiedBy>Dimitar Gueorguiev</cp:lastModifiedBy>
  <cp:revision>4</cp:revision>
  <dcterms:created xsi:type="dcterms:W3CDTF">2026-01-09T17:21:00Z</dcterms:created>
  <dcterms:modified xsi:type="dcterms:W3CDTF">2026-01-09T20:46:00Z</dcterms:modified>
</cp:coreProperties>
</file>